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D5" w:rsidRDefault="007764D5" w:rsidP="00972C31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НАРОДНЫХ ДЕПУТАТОВ</w:t>
      </w:r>
    </w:p>
    <w:p w:rsidR="007764D5" w:rsidRDefault="007764D5" w:rsidP="007764D5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СТАРОНИКОЛЬСКОГО  СЕЛЬСКОГО     ПОСЕЛЕНИЯ</w:t>
      </w:r>
    </w:p>
    <w:p w:rsidR="007764D5" w:rsidRDefault="007764D5" w:rsidP="007764D5">
      <w:pPr>
        <w:autoSpaceDE w:val="0"/>
        <w:autoSpaceDN w:val="0"/>
        <w:adjustRightInd w:val="0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ХОХОЛЬСКОГО МУНИЦИПАЛЬНОГО РАЙОНА   </w:t>
      </w:r>
    </w:p>
    <w:p w:rsidR="007764D5" w:rsidRDefault="007764D5" w:rsidP="007764D5">
      <w:pPr>
        <w:autoSpaceDE w:val="0"/>
        <w:autoSpaceDN w:val="0"/>
        <w:adjustRightInd w:val="0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ВОРОНЕЖСКОЙ ОБЛАСТИ</w:t>
      </w:r>
    </w:p>
    <w:p w:rsidR="007764D5" w:rsidRDefault="007764D5" w:rsidP="007764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64D5" w:rsidRDefault="007764D5" w:rsidP="007764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764D5" w:rsidRDefault="007764D5" w:rsidP="007764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64D5" w:rsidRDefault="007764D5" w:rsidP="007764D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11. 07. 2016 г.   N 24</w:t>
      </w:r>
    </w:p>
    <w:p w:rsidR="007764D5" w:rsidRDefault="007764D5" w:rsidP="007764D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Староникольское</w:t>
      </w:r>
    </w:p>
    <w:p w:rsidR="007764D5" w:rsidRDefault="007764D5" w:rsidP="007764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64D5" w:rsidRDefault="007764D5" w:rsidP="007764D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</w:rPr>
        <w:t>Об</w:t>
      </w:r>
      <w:r w:rsidRPr="007764D5">
        <w:rPr>
          <w:b/>
          <w:bCs/>
        </w:rPr>
        <w:t xml:space="preserve"> УТВЕРЖДЕНИИ МЕСТНОГО НОРМАТИВА ГРАДОСТРОИТЕЛЬНОГО ПРОЕКТИРОВА</w:t>
      </w:r>
      <w:r w:rsidR="008604B8">
        <w:rPr>
          <w:b/>
          <w:bCs/>
        </w:rPr>
        <w:t>НИЯ   «</w:t>
      </w:r>
      <w:r w:rsidR="008604B8" w:rsidRPr="009E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Проектирование и размещение гаражей и стоянок легковых автомо</w:t>
      </w:r>
      <w:r w:rsidR="00860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билей на территории Староникольского</w:t>
      </w:r>
      <w:r w:rsidR="008604B8" w:rsidRPr="009E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="00860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Хохоль</w:t>
      </w:r>
      <w:r w:rsidR="008604B8" w:rsidRPr="009E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муниципального района Воронежской области</w:t>
      </w:r>
      <w:r w:rsidR="008604B8">
        <w:rPr>
          <w:bCs/>
          <w:sz w:val="28"/>
          <w:szCs w:val="28"/>
        </w:rPr>
        <w:t xml:space="preserve">   </w:t>
      </w:r>
      <w:r w:rsidR="008604B8">
        <w:rPr>
          <w:b/>
          <w:bCs/>
        </w:rPr>
        <w:t xml:space="preserve">    </w:t>
      </w:r>
      <w:r>
        <w:rPr>
          <w:b/>
          <w:bCs/>
          <w:sz w:val="28"/>
          <w:szCs w:val="28"/>
        </w:rPr>
        <w:t>».</w:t>
      </w:r>
    </w:p>
    <w:p w:rsidR="007764D5" w:rsidRDefault="007764D5" w:rsidP="007764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64D5" w:rsidRDefault="007764D5" w:rsidP="007764D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Законом Воронежской области от 07.07.2006 N 61-ОЗ "О регулировании градостроительной деятельности в Воронежской области", Федеральным Законом от 06.10.2003 №1312-ФЗ «Об общих принципах организации местного самоуправления в Российской Федерации», Совет народных депутатов Староникольского сельского поселения </w:t>
      </w:r>
    </w:p>
    <w:p w:rsidR="007764D5" w:rsidRDefault="007764D5" w:rsidP="007764D5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Решил</w:t>
      </w:r>
      <w:r>
        <w:rPr>
          <w:b/>
          <w:sz w:val="28"/>
          <w:szCs w:val="28"/>
        </w:rPr>
        <w:t>:</w:t>
      </w:r>
    </w:p>
    <w:p w:rsidR="007764D5" w:rsidRDefault="007764D5" w:rsidP="007764D5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прилагаемый местный норматив градостроительного проектирования </w:t>
      </w:r>
      <w:r>
        <w:rPr>
          <w:bCs/>
          <w:sz w:val="28"/>
          <w:szCs w:val="28"/>
        </w:rPr>
        <w:t>«</w:t>
      </w:r>
      <w:r w:rsidRPr="009E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Проектирование и размещение гаражей и стоянок легковых автомо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билей на территории Староникольского</w:t>
      </w:r>
      <w:r w:rsidRPr="009E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Хохоль</w:t>
      </w:r>
      <w:r w:rsidRPr="009E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муниципального района Воронежской области</w:t>
      </w:r>
      <w:r>
        <w:rPr>
          <w:bCs/>
          <w:sz w:val="28"/>
          <w:szCs w:val="28"/>
        </w:rPr>
        <w:t xml:space="preserve">   ».</w:t>
      </w:r>
    </w:p>
    <w:p w:rsidR="007764D5" w:rsidRDefault="007764D5" w:rsidP="007764D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опубликованию.</w:t>
      </w:r>
    </w:p>
    <w:p w:rsidR="007764D5" w:rsidRDefault="007764D5" w:rsidP="007764D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решения возложить на исполняющего обязанности главы администрации Староникольского сельского поселения    Кожевникова В. Н</w:t>
      </w:r>
    </w:p>
    <w:p w:rsidR="007764D5" w:rsidRDefault="007764D5" w:rsidP="007764D5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</w:t>
      </w:r>
    </w:p>
    <w:p w:rsidR="007764D5" w:rsidRDefault="007764D5" w:rsidP="007764D5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br/>
        <w:t>Староникольского сельского                      Л. И. Ульянова</w:t>
      </w:r>
    </w:p>
    <w:p w:rsidR="007764D5" w:rsidRDefault="007764D5" w:rsidP="007764D5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7764D5" w:rsidRDefault="007764D5" w:rsidP="007764D5">
      <w:pPr>
        <w:pStyle w:val="ConsPlusTitle"/>
        <w:widowControl/>
        <w:jc w:val="center"/>
        <w:outlineLvl w:val="0"/>
      </w:pPr>
    </w:p>
    <w:p w:rsidR="008D7338" w:rsidRDefault="008D7338" w:rsidP="009E0B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338" w:rsidRDefault="008D7338" w:rsidP="009E0B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338" w:rsidRDefault="008D7338" w:rsidP="009E0B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338" w:rsidRDefault="008D7338" w:rsidP="009E0B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338" w:rsidRDefault="008D7338" w:rsidP="009E0B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338" w:rsidRDefault="008D7338" w:rsidP="009E0B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338" w:rsidRDefault="008D7338" w:rsidP="009E0B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338" w:rsidRDefault="008D7338" w:rsidP="009E0B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338" w:rsidRDefault="008D7338" w:rsidP="009E0B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64D5" w:rsidRDefault="007764D5" w:rsidP="009E0B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64D5" w:rsidRDefault="007764D5" w:rsidP="009E0B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64D5" w:rsidRDefault="007764D5" w:rsidP="009E0B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64D5" w:rsidRDefault="007764D5" w:rsidP="009E0B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64D5" w:rsidRDefault="007764D5" w:rsidP="009E0B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4B8" w:rsidRDefault="008604B8" w:rsidP="007764D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4B8" w:rsidRDefault="008604B8" w:rsidP="007764D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4B8" w:rsidRDefault="008604B8" w:rsidP="007764D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64D5" w:rsidRDefault="007764D5" w:rsidP="007764D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Приложение</w:t>
      </w:r>
    </w:p>
    <w:p w:rsidR="007764D5" w:rsidRDefault="007764D5" w:rsidP="007764D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решению </w:t>
      </w:r>
    </w:p>
    <w:p w:rsidR="007764D5" w:rsidRDefault="007764D5" w:rsidP="007764D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народных депутатов</w:t>
      </w:r>
    </w:p>
    <w:p w:rsidR="007764D5" w:rsidRDefault="007764D5" w:rsidP="007764D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Староникольского сельского поселения</w:t>
      </w:r>
    </w:p>
    <w:p w:rsidR="007764D5" w:rsidRDefault="008604B8" w:rsidP="007764D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11.07.2016 года № </w:t>
      </w:r>
    </w:p>
    <w:p w:rsidR="009E0BCE" w:rsidRPr="009E0BCE" w:rsidRDefault="009E0BCE" w:rsidP="009E0B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МЕСТНЫЙ НОРМАТИВ ГРАДОСТРОИТЕЛЬНОГО ПРОЕКТИРОВАНИЯ </w:t>
      </w:r>
    </w:p>
    <w:p w:rsidR="009E0BCE" w:rsidRPr="009E0BCE" w:rsidRDefault="009E0BCE" w:rsidP="009E0B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«Проектирование и размещение гаражей и стоянок легковых автомо</w:t>
      </w:r>
      <w:r w:rsidR="00776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билей на территории  Староникольского</w:t>
      </w:r>
      <w:r w:rsidRPr="009E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</w:t>
      </w:r>
      <w:r w:rsidR="00776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льского поселения  </w:t>
      </w:r>
      <w:r w:rsidRPr="009E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Воронежской области»</w:t>
      </w:r>
    </w:p>
    <w:p w:rsidR="009E0BCE" w:rsidRPr="009E0BCE" w:rsidRDefault="009E0BCE" w:rsidP="009E0B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CE" w:rsidRPr="009E0BCE" w:rsidRDefault="009E0BCE" w:rsidP="009E0BCE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Toc246058165"/>
      <w:bookmarkEnd w:id="0"/>
      <w:r w:rsidRPr="009E0B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Назначение и область применения</w:t>
      </w:r>
    </w:p>
    <w:p w:rsidR="009E0BCE" w:rsidRPr="009E0BCE" w:rsidRDefault="009E0BCE" w:rsidP="009E0B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CE" w:rsidRPr="009E0BCE" w:rsidRDefault="009E0BCE" w:rsidP="009E0BCE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норматив разработан в соответствии с законодательством Российской Федерации и Воронежской области в целях установления единых требований к проектированию и условиям размещения гаражей и стоянок легковых автомобилей на территор</w:t>
      </w:r>
      <w:r w:rsidR="00776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Староникольского</w:t>
      </w: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776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Хохольского</w:t>
      </w: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области.</w:t>
      </w:r>
    </w:p>
    <w:p w:rsidR="009E0BCE" w:rsidRPr="009E0BCE" w:rsidRDefault="009E0BCE" w:rsidP="009E0BCE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градостроитель</w:t>
      </w:r>
      <w:r w:rsidR="00776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проектирования Староникольского</w:t>
      </w: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="0077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поселения Хохольского </w:t>
      </w: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Воронежской области -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 и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маломобильные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группы), объектами инженерно-транспортной инфраструктуры, благоустройства и озеленения территории).</w:t>
      </w:r>
    </w:p>
    <w:p w:rsidR="009E0BCE" w:rsidRPr="009E0BCE" w:rsidRDefault="009E0BCE" w:rsidP="009E0BCE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норматив применяется при подготовке, согласовании и утверждении документации по планировке территории, утверждаемой органом мест</w:t>
      </w:r>
      <w:r w:rsidR="00776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 Староникольского сельского поселения Хохоль</w:t>
      </w: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Воронежской области, а также используется для принятия решений органами государственной власти и местного самоуправления, органами контроля и надзора Воронежской области.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Настоящий норматив обязателен для всех субъектов градостроительной деятельности, осуществляющих свою деятельность на территории </w:t>
      </w:r>
      <w:r w:rsidR="0077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Староникольского сельского поселения Хохоль</w:t>
      </w: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Воронежской области, независимо от их организационно-правовой формы.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не рассматриваемым в настоящем нормативе, следует руководствоваться действующими федеральными градостроительными нормами и законодательством Российской Федерации.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CE" w:rsidRPr="009E0BCE" w:rsidRDefault="009E0BCE" w:rsidP="009E0BCE">
      <w:pPr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" w:name="_Toc246058166"/>
      <w:bookmarkEnd w:id="1"/>
      <w:r w:rsidRPr="009E0B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Общие положения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CE" w:rsidRPr="009E0BCE" w:rsidRDefault="009E0BCE" w:rsidP="009E0BCE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нормы распространяются на проектирование зданий, сооружений и помещений для стоянки (хранения) легковых автомобилей (далее - автостоянки) независимо от их организационно - правовой формы и формы собственности.</w:t>
      </w:r>
    </w:p>
    <w:p w:rsidR="009E0BCE" w:rsidRPr="009E0BCE" w:rsidRDefault="009E0BCE" w:rsidP="009E0BCE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Автостоянки могут размещаться ниже и выше уровня земли, состоять из подземной и надземной частей, пристраиваться к зданиям другого назначения или встраиваться в них, в том числе располагаться под или над этими зданиями (в подземных, цокольных или надземных этажах), в подземных, цокольных или первых надземных этажах, в том числе под жилыми домами.</w:t>
      </w:r>
      <w:proofErr w:type="gramEnd"/>
    </w:p>
    <w:p w:rsidR="009E0BCE" w:rsidRPr="009E0BCE" w:rsidRDefault="009E0BCE" w:rsidP="009E0BCE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Надземные автостоянки могут быть с наружными стеновыми ограждениями - закрытого типа и без наружных стеновых ограждений (только с поэтажными парапетами) - открытого типа.</w:t>
      </w:r>
    </w:p>
    <w:p w:rsidR="009E0BCE" w:rsidRPr="009E0BCE" w:rsidRDefault="009E0BCE" w:rsidP="009E0BCE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Парковка машин может осуществляться:</w:t>
      </w:r>
    </w:p>
    <w:p w:rsidR="009E0BCE" w:rsidRPr="009E0BCE" w:rsidRDefault="009E0BCE" w:rsidP="009E0BCE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водителей - по пандусам (рампам) или с использованием грузовых лифтов;</w:t>
      </w:r>
    </w:p>
    <w:p w:rsidR="009E0BCE" w:rsidRPr="009E0BCE" w:rsidRDefault="009E0BCE" w:rsidP="009E0BCE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участия водителей - механизированными устройствами.</w:t>
      </w:r>
    </w:p>
    <w:p w:rsidR="009E0BCE" w:rsidRPr="009E0BCE" w:rsidRDefault="009E0BCE" w:rsidP="009E0BCE">
      <w:pPr>
        <w:numPr>
          <w:ilvl w:val="1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автомобилей в населенных пунктах может быть временное (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отдельных общественных зданий, учреждений, предприятий и офисов) и длительное.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(в том числе ночное) хранение автомобилей должно осуществляться преимущественно на территориях, близко расположенных к жилой застройке.</w:t>
      </w:r>
    </w:p>
    <w:p w:rsidR="009E0BCE" w:rsidRPr="009E0BCE" w:rsidRDefault="009E0BCE" w:rsidP="009E0BCE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Гаражи и автостоянки отличаются по ряду признаков:</w:t>
      </w:r>
    </w:p>
    <w:p w:rsidR="009E0BCE" w:rsidRPr="009E0BCE" w:rsidRDefault="009E0BCE" w:rsidP="009E0BCE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продолжительности хранения автомашин (длительное и краткосрочное);</w:t>
      </w:r>
    </w:p>
    <w:p w:rsidR="009E0BCE" w:rsidRPr="009E0BCE" w:rsidRDefault="009E0BCE" w:rsidP="009E0BCE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ярусов (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одноярусные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многоярусные);</w:t>
      </w:r>
    </w:p>
    <w:p w:rsidR="009E0BCE" w:rsidRPr="009E0BCE" w:rsidRDefault="009E0BCE" w:rsidP="009E0BCE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средствам перемещения автомобилей по вертикали (рамповые, лифтовые);</w:t>
      </w:r>
    </w:p>
    <w:p w:rsidR="009E0BCE" w:rsidRPr="009E0BCE" w:rsidRDefault="009E0BCE" w:rsidP="009E0BCE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архитектурно-планировочному решению (отдельно 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стоящие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встроенные);</w:t>
      </w:r>
    </w:p>
    <w:p w:rsidR="009E0BCE" w:rsidRPr="009E0BCE" w:rsidRDefault="009E0BCE" w:rsidP="009E0BCE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охраняемые и не охраняемые.</w:t>
      </w:r>
    </w:p>
    <w:p w:rsidR="009E0BCE" w:rsidRPr="009E0BCE" w:rsidRDefault="009E0BCE" w:rsidP="009E0BCE">
      <w:pPr>
        <w:numPr>
          <w:ilvl w:val="1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Кратковременная стоянка автотранспорта на территории общего пользования, у тротуаров и на проезжей части дорог и площадей (в течение дня) производится организованно на местах, отведенных органами местного самоуправления.</w:t>
      </w:r>
    </w:p>
    <w:p w:rsidR="009E0BCE" w:rsidRPr="009E0BCE" w:rsidRDefault="009E0BCE" w:rsidP="009E0BCE">
      <w:pPr>
        <w:numPr>
          <w:ilvl w:val="1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участках автостоянок длительного хранения следует предусматривать места сбора отработанных масел, ветоши, отработанных аккумуляторов и др. отходов.</w:t>
      </w:r>
    </w:p>
    <w:p w:rsidR="009E0BCE" w:rsidRPr="009E0BCE" w:rsidRDefault="009E0BCE" w:rsidP="009E0BCE">
      <w:pPr>
        <w:numPr>
          <w:ilvl w:val="1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предусматривать озеленение участков автостоянок: до 15-30 процентов территории, не занятой строениями.</w:t>
      </w:r>
    </w:p>
    <w:p w:rsidR="009E0BCE" w:rsidRPr="009E0BCE" w:rsidRDefault="009E0BCE" w:rsidP="009E0BCE">
      <w:pPr>
        <w:numPr>
          <w:ilvl w:val="1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 и определения приведены в приложении.</w:t>
      </w:r>
    </w:p>
    <w:p w:rsidR="009E0BCE" w:rsidRPr="009E0BCE" w:rsidRDefault="009E0BCE" w:rsidP="009E0BCE">
      <w:pPr>
        <w:numPr>
          <w:ilvl w:val="1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отмене действующих нормативных документов, на которые дается ссылка в настоящих нормах, следует руководствоваться нормами, которые введены взамен отмененных.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CE" w:rsidRPr="009E0BCE" w:rsidRDefault="009E0BCE" w:rsidP="009E0BCE">
      <w:pPr>
        <w:numPr>
          <w:ilvl w:val="0"/>
          <w:numId w:val="10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" w:name="_Toc246058167"/>
      <w:bookmarkEnd w:id="2"/>
      <w:r w:rsidRPr="009E0B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Градостроительные требования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CE" w:rsidRPr="009E0BCE" w:rsidRDefault="009E0BCE" w:rsidP="009E0BCE">
      <w:pPr>
        <w:numPr>
          <w:ilvl w:val="1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автост</w:t>
      </w:r>
      <w:r w:rsidR="00776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оянок на территории Староникольского</w:t>
      </w: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776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Хохольского</w:t>
      </w: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осуществляется в соответствии с утвержденной градостроительной документацией, в зависимости от потребности и возможности, обусловленной конкретными градостроительными условиями, с обеспечением требования к охране окружающей среды,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2.07.01-89* и настоящими нормами.</w:t>
      </w:r>
    </w:p>
    <w:p w:rsidR="009E0BCE" w:rsidRPr="009E0BCE" w:rsidRDefault="009E0BCE" w:rsidP="009E0BCE">
      <w:pPr>
        <w:numPr>
          <w:ilvl w:val="1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сооружений постоянного и временного хранения легковых автомобилей является элементом планировочной структуры и застройки населенного пункта и должна обеспечивать:</w:t>
      </w:r>
    </w:p>
    <w:p w:rsidR="009E0BCE" w:rsidRPr="009E0BCE" w:rsidRDefault="009E0BCE" w:rsidP="009E0BCE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удовлетворение потребности населения в местах постоянного и временного хранения индивидуальных автомобилей;</w:t>
      </w:r>
    </w:p>
    <w:p w:rsidR="009E0BCE" w:rsidRPr="009E0BCE" w:rsidRDefault="009E0BCE" w:rsidP="009E0BCE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стадийное развитие сети и соответствующих сооружений;</w:t>
      </w:r>
    </w:p>
    <w:p w:rsidR="009E0BCE" w:rsidRPr="009E0BCE" w:rsidRDefault="009E0BCE" w:rsidP="009E0BCE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использование и экономию территории;</w:t>
      </w:r>
    </w:p>
    <w:p w:rsidR="009E0BCE" w:rsidRPr="009E0BCE" w:rsidRDefault="009E0BCE" w:rsidP="009E0BCE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движения транспорта и пешеходов;</w:t>
      </w:r>
    </w:p>
    <w:p w:rsidR="009E0BCE" w:rsidRPr="009E0BCE" w:rsidRDefault="009E0BCE" w:rsidP="009E0BCE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окружающей среды;</w:t>
      </w:r>
    </w:p>
    <w:p w:rsidR="009E0BCE" w:rsidRPr="009E0BCE" w:rsidRDefault="009E0BCE" w:rsidP="009E0BCE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художественно-эстетические качества планировки и застройки населенного пункта;</w:t>
      </w:r>
    </w:p>
    <w:p w:rsidR="009E0BCE" w:rsidRPr="009E0BCE" w:rsidRDefault="009E0BCE" w:rsidP="009E0BCE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экономию строительных материалов;</w:t>
      </w:r>
    </w:p>
    <w:p w:rsidR="009E0BCE" w:rsidRPr="009E0BCE" w:rsidRDefault="009E0BCE" w:rsidP="009E0BCE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использование существующей строительно-производственной базы;</w:t>
      </w:r>
    </w:p>
    <w:p w:rsidR="009E0BCE" w:rsidRPr="009E0BCE" w:rsidRDefault="009E0BCE" w:rsidP="009E0BCE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трудозатрат на строительство и экономию энергетических ресурсов.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гаражей и автосто</w:t>
      </w:r>
      <w:r w:rsidR="007764D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янок на территории  Староникольского сельского поселения  Хохоль</w:t>
      </w: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района Воронежской области, в проектах детальной планировки, а также при выборе типов гаражей и стоянок и разработке их типовых проектов необходимо учитывать совокупность факторов: интересы населения и интересы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автовладельцев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0BCE" w:rsidRPr="009E0BCE" w:rsidRDefault="007764D5" w:rsidP="009E0BCE">
      <w:pPr>
        <w:numPr>
          <w:ilvl w:val="1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Староникольском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Хохоль</w:t>
      </w:r>
      <w:r w:rsidR="009E0BCE"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района Воронежской области следует предусматривать при строительстве новых жилых микрорайонов одно </w:t>
      </w:r>
      <w:proofErr w:type="spellStart"/>
      <w:r w:rsidR="009E0BCE"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машино-место</w:t>
      </w:r>
      <w:proofErr w:type="spellEnd"/>
      <w:r w:rsidR="009E0BCE"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одну квартиру, при реконструкции - одно </w:t>
      </w:r>
      <w:proofErr w:type="spellStart"/>
      <w:r w:rsidR="009E0BCE"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машино-место</w:t>
      </w:r>
      <w:proofErr w:type="spellEnd"/>
      <w:r w:rsidR="009E0BCE"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две квартиры.</w:t>
      </w:r>
    </w:p>
    <w:p w:rsidR="009E0BCE" w:rsidRPr="009E0BCE" w:rsidRDefault="009E0BCE" w:rsidP="009E0BCE">
      <w:pPr>
        <w:numPr>
          <w:ilvl w:val="1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(вместимость) автостоянок, их объемно-планировочное решение определяются настоящими нормами в зависимости от особенностей участка строительства, потребностей заказчика, характера застройки и регламентов, накладываемых на территорию градостроительной документацией.</w:t>
      </w:r>
    </w:p>
    <w:p w:rsidR="009E0BCE" w:rsidRPr="009E0BCE" w:rsidRDefault="009E0BCE" w:rsidP="009E0BCE">
      <w:pPr>
        <w:numPr>
          <w:ilvl w:val="1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7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исторической части  Староникольского сельского поселения Хо</w:t>
      </w:r>
      <w:r w:rsidR="000C54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холь</w:t>
      </w: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Воронежской области строительство стоянок длительного хранения не допускается.</w:t>
      </w:r>
    </w:p>
    <w:p w:rsidR="009E0BCE" w:rsidRPr="009E0BCE" w:rsidRDefault="009E0BCE" w:rsidP="009E0BCE">
      <w:pPr>
        <w:numPr>
          <w:ilvl w:val="1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стоянки для длительного хранения легковых автомобилей рекомендуется предусматривать из условий пешеходной доступности не более 800 м до границ жилой застройки.</w:t>
      </w:r>
    </w:p>
    <w:p w:rsidR="009E0BCE" w:rsidRPr="009E0BCE" w:rsidRDefault="009E0BCE" w:rsidP="009E0BCE">
      <w:pPr>
        <w:numPr>
          <w:ilvl w:val="1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жилых районов следует предусматривать закрытые автостоянки для легковых автомобилей подземного типа из расчета не менее 200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тыс. жителей.</w:t>
      </w:r>
    </w:p>
    <w:p w:rsidR="009E0BCE" w:rsidRPr="009E0BCE" w:rsidRDefault="009E0BCE" w:rsidP="009E0BCE">
      <w:pPr>
        <w:numPr>
          <w:ilvl w:val="1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Закрытые стоянки для легковых автомобилей, встроенные или пристроенные к жилым и общественным зданиям (за исключением школ, детских дошкольных учреждений и лечебных учреждений со стационаром) необходимо предусматривать в соответствии с требованиями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31-01-2003 и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31-06-2009.</w:t>
      </w:r>
    </w:p>
    <w:p w:rsidR="009E0BCE" w:rsidRPr="009E0BCE" w:rsidRDefault="009E0BCE" w:rsidP="009E0BCE">
      <w:pPr>
        <w:numPr>
          <w:ilvl w:val="1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строительство наземно-подземных закрытых стоянок легковых автомобилей с последующей обсыпкой грунтом и использованием кровли для спортивных и хозяйственных площадок.</w:t>
      </w:r>
    </w:p>
    <w:p w:rsidR="009E0BCE" w:rsidRPr="009E0BCE" w:rsidRDefault="009E0BCE" w:rsidP="009E0BCE">
      <w:pPr>
        <w:numPr>
          <w:ilvl w:val="1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открытых и закрытых автостоянок не допускается в 1, 2, 3, поясах санитарно-защитных зон водозаборов хозяйственно-питьевого назначения в соответствии с </w:t>
      </w:r>
      <w:hyperlink r:id="rId5" w:tgtFrame="_blank" w:history="1">
        <w:proofErr w:type="spellStart"/>
        <w:r w:rsidRPr="009E0BC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СанПиН</w:t>
        </w:r>
        <w:proofErr w:type="spellEnd"/>
        <w:r w:rsidRPr="009E0BC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 xml:space="preserve"> </w:t>
        </w:r>
        <w:r w:rsidRPr="009E0BC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lastRenderedPageBreak/>
          <w:t>2.1.4.1110-02</w:t>
        </w:r>
      </w:hyperlink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условиях достаточной защищенности водоносного горизонта возможно размещение автостоянок в 3 поясе санитарной охраны в случае проведения мероприятий по защите водоносных горизонтов от проникновения с поверхности химического и бактериального загрязнения.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Подобные случаи требуют обязательного согласования с органами государственного санитарно-эпидемиологического, водного, геолого-гидрологического, экологического надзора.</w:t>
      </w:r>
    </w:p>
    <w:p w:rsidR="009E0BCE" w:rsidRPr="009E0BCE" w:rsidRDefault="009E0BCE" w:rsidP="009E0BCE">
      <w:pPr>
        <w:numPr>
          <w:ilvl w:val="1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закрытых и открытых автостоянок запрещается в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зонах рек и водоемов.</w:t>
      </w:r>
    </w:p>
    <w:p w:rsidR="009E0BCE" w:rsidRPr="009E0BCE" w:rsidRDefault="009E0BCE" w:rsidP="009E0BCE">
      <w:pPr>
        <w:numPr>
          <w:ilvl w:val="1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Стоянки для хранения легковых автомобилей вместимостью свыше 300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размещать вне жилых районов, а свыше 500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производственных и коммунально-складских территориях.</w:t>
      </w:r>
    </w:p>
    <w:p w:rsidR="009E0BCE" w:rsidRPr="009E0BCE" w:rsidRDefault="009E0BCE" w:rsidP="009E0BCE">
      <w:pPr>
        <w:numPr>
          <w:ilvl w:val="1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ITSoft"/>
      <w:bookmarkEnd w:id="3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Автостоянки длительного хранения ведомственных автомобилей, легковых автомобилей специального назначения, грузовых автомобилей следует размещать на производственных территориях. </w:t>
      </w:r>
    </w:p>
    <w:p w:rsidR="009E0BCE" w:rsidRPr="009E0BCE" w:rsidRDefault="009E0BCE" w:rsidP="009E0BCE">
      <w:pPr>
        <w:numPr>
          <w:ilvl w:val="1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CRUncertain004"/>
      <w:bookmarkEnd w:id="4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земельных участков для организации стоянок легковых автомобилей следует принимать исходя из этажности, кв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машино-место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закрытых автостоянок: 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1-этажная – 30 кв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2-этажная</w:t>
      </w:r>
      <w:r w:rsidRPr="009E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кв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3-этажная</w:t>
      </w:r>
      <w:r w:rsidRPr="009E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14 кв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4-этажная</w:t>
      </w:r>
      <w:r w:rsidRPr="009E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кв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5-этажная – 10 кв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открытых наземных автостоянок – 25 кв.м.</w:t>
      </w:r>
    </w:p>
    <w:p w:rsidR="009E0BCE" w:rsidRPr="009E0BCE" w:rsidRDefault="009E0BCE" w:rsidP="009E0BCE">
      <w:pPr>
        <w:numPr>
          <w:ilvl w:val="1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расстояния от открытых стоянок до жилых домов, общественных зданий, а также до участков школ, детских дошкольных учреждений и лечебных учреждений стационарного типа следует принимать по таблице 1.</w:t>
      </w:r>
    </w:p>
    <w:p w:rsidR="009E0BCE" w:rsidRPr="009E0BCE" w:rsidRDefault="009E0BCE" w:rsidP="009E0BC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</w:p>
    <w:tbl>
      <w:tblPr>
        <w:tblW w:w="748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7"/>
        <w:gridCol w:w="810"/>
        <w:gridCol w:w="663"/>
        <w:gridCol w:w="663"/>
        <w:gridCol w:w="810"/>
        <w:gridCol w:w="945"/>
      </w:tblGrid>
      <w:tr w:rsidR="009E0BCE" w:rsidRPr="009E0BCE" w:rsidTr="009E0BCE">
        <w:trPr>
          <w:tblCellSpacing w:w="0" w:type="dxa"/>
        </w:trPr>
        <w:tc>
          <w:tcPr>
            <w:tcW w:w="3516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до которых определяется расстояние</w:t>
            </w:r>
          </w:p>
        </w:tc>
        <w:tc>
          <w:tcPr>
            <w:tcW w:w="3804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OCRUncertain005"/>
            <w:bookmarkEnd w:id="5"/>
            <w:r w:rsidRPr="009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Расстояние, </w:t>
            </w:r>
            <w:proofErr w:type="gramStart"/>
            <w:r w:rsidRPr="009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числе легковых автомобилей</w:t>
            </w:r>
          </w:p>
        </w:tc>
      </w:tr>
      <w:tr w:rsidR="009E0BCE" w:rsidRPr="009E0BCE" w:rsidTr="009E0BC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9E0BCE" w:rsidRPr="009E0BCE" w:rsidRDefault="009E0BCE" w:rsidP="009E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 менее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64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51-100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101-300 </w:t>
            </w:r>
          </w:p>
        </w:tc>
        <w:tc>
          <w:tcPr>
            <w:tcW w:w="63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OCRUncertain006"/>
            <w:bookmarkEnd w:id="6"/>
            <w:r w:rsidRPr="009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300</w:t>
            </w:r>
          </w:p>
        </w:tc>
      </w:tr>
      <w:tr w:rsidR="009E0BCE" w:rsidRPr="009E0BCE" w:rsidTr="009E0BCE">
        <w:trPr>
          <w:tblCellSpacing w:w="0" w:type="dxa"/>
        </w:trPr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</w:t>
            </w:r>
          </w:p>
        </w:tc>
        <w:tc>
          <w:tcPr>
            <w:tcW w:w="792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8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6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E0BCE" w:rsidRPr="009E0BCE" w:rsidTr="009E0BCE">
        <w:trPr>
          <w:tblCellSpacing w:w="0" w:type="dxa"/>
        </w:trPr>
        <w:tc>
          <w:tcPr>
            <w:tcW w:w="35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OCRUncertain007"/>
            <w:bookmarkEnd w:id="7"/>
            <w:r w:rsidRPr="009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т.ч. торцы жилых домов без окон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E0BCE" w:rsidRPr="009E0BCE" w:rsidTr="009E0BCE">
        <w:trPr>
          <w:tblCellSpacing w:w="0" w:type="dxa"/>
        </w:trPr>
        <w:tc>
          <w:tcPr>
            <w:tcW w:w="35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здания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E0BCE" w:rsidRPr="009E0BCE" w:rsidTr="009E0BCE">
        <w:trPr>
          <w:tblCellSpacing w:w="0" w:type="dxa"/>
        </w:trPr>
        <w:tc>
          <w:tcPr>
            <w:tcW w:w="35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школы, детские дошкольные учреждения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9E0BCE" w:rsidRPr="009E0BCE" w:rsidTr="009E0BCE">
        <w:trPr>
          <w:tblCellSpacing w:w="0" w:type="dxa"/>
        </w:trPr>
        <w:tc>
          <w:tcPr>
            <w:tcW w:w="35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учреждения со стационаром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OCRUncertain008"/>
            <w:bookmarkEnd w:id="8"/>
            <w:r w:rsidRPr="009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Расстояния определяются по согласованию с Управлением </w:t>
      </w:r>
      <w:proofErr w:type="spellStart"/>
      <w:r w:rsidRPr="009E0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E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Воронежской области.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OCRUncertain009"/>
      <w:bookmarkEnd w:id="9"/>
      <w:r w:rsidRPr="009E0BC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Расстояние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границ открытой стоянки или до стен закрытой автостоянки.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Расстояние от секционных жилых домов до автостоянок вместимостью 101-300 машин, размещаемых вдоль продольных фасадов, следует принимать не менее 50 метров.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Указанные в таблице 1 расстояния должны быть подтверждены расчетами рассеивания загрязняющих веществ в атмосфере.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В случае размещения на смежных участках нескольких автостоянок, расположенных с разрывом между ними, не превышающим 25 м, расстояние от этих автостоянок до жилых домов, других зданий и ширина зеленых насаждений принимается с учетом общего числа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всех автостоянках.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Расстояние от окон зданий (кроме школ, детских дошкольных учреждений) до въезда в подземную автостоянку или выезда из нее должно быть не менее 15 м. Расстояние менее 15 м согласовывается с органами государственного санитарного надзора при подтверждении расчетом на не превышение концентрации загрязняющих веществ в атмосфере.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въездов или выездов подземных автостоянок до границ участков общеобразовательных школ, детских дошкольных учреждений и лечебных учреждений следует принимать не менее 30 м.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3.19. Въезды на автостоянку и выезды из нее, их число, с односторонним или двухсторонним движением, их размещение по отношению к улицам, необходимость устройства площадки перед въездом на автостоянку определяются техническим заданием на проектирование и настоящими нормами.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размещении на открытой автостоянке более 100 автомобилей с ее территории должно предусматриваться не менее двух выездов, которые одновременно могут использоваться как въезды.</w:t>
      </w:r>
    </w:p>
    <w:p w:rsidR="009E0BCE" w:rsidRPr="009E0BCE" w:rsidRDefault="009E0BCE" w:rsidP="009E0BCE">
      <w:pPr>
        <w:numPr>
          <w:ilvl w:val="1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устройства ограждения территории автостоянки, ворот и контрольно-пропускного пункта определяется техническим заданием на проектирование.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3.21. Транзитный проезд через территорию жилого квартала к автостоянке вместимостью более 50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3.22. Размещение автостоянок в санитарно-защитных зонах промпредприятий и других объектов за счет площади, определенной согласно утвержденной градостроительной документации под озеленение, не допускается.</w:t>
      </w:r>
    </w:p>
    <w:p w:rsidR="009E0BCE" w:rsidRPr="009E0BCE" w:rsidRDefault="009E0BCE" w:rsidP="009E0BCE">
      <w:pPr>
        <w:numPr>
          <w:ilvl w:val="1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пешеходных подходов от стоянок для временного хранения легковых автомобилей следует принимать не более: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входов в жилые дома</w:t>
      </w:r>
      <w:r w:rsidRPr="009E0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м;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пассажирских помещений вокзалов, входов в места крупных учреждений торговли и общественного питания – 150 м;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OCRUncertain010"/>
      <w:bookmarkEnd w:id="10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прочих учреждений и предприятий обслуживания населения и административных зданий – 250 м;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 входов в парки, на выставки и стадионы – 400 м. </w:t>
      </w:r>
    </w:p>
    <w:p w:rsidR="009E0BCE" w:rsidRPr="009E0BCE" w:rsidRDefault="009E0BCE" w:rsidP="009E0BCE">
      <w:pPr>
        <w:numPr>
          <w:ilvl w:val="1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OCRUncertain012"/>
      <w:bookmarkEnd w:id="11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расстояния до въездов в закрытые автостоянки и выездов из них следует принимать: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перекрестков магистральных улиц – 50 м;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улиц местного значения – 20 м;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остановочных пунктов общественного пассажирского транспорта – 30 м.</w:t>
      </w:r>
    </w:p>
    <w:p w:rsidR="009E0BCE" w:rsidRPr="009E0BCE" w:rsidRDefault="009E0BCE" w:rsidP="009E0BCE">
      <w:pPr>
        <w:numPr>
          <w:ilvl w:val="1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выделении земельного участка под размещение автостоянки и гаражей, согласно утвержденной градостроительной документации, принимает орган местного самоуправления, за исключением случаев, установленных законодательством.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утвержденной градостроительной документации земельный участок под размещение автостоянок и гаражей определяет орган местного </w:t>
      </w: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с привлечением государственных надзорных, контролирующих служб и природоохранных органов.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CE" w:rsidRPr="009E0BCE" w:rsidRDefault="009E0BCE" w:rsidP="009E0BCE">
      <w:pPr>
        <w:numPr>
          <w:ilvl w:val="0"/>
          <w:numId w:val="19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2" w:name="_Toc246058168"/>
      <w:bookmarkEnd w:id="12"/>
      <w:r w:rsidRPr="009E0B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Требования к объемно – планировочным и конструктивным решениям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CE" w:rsidRPr="009E0BCE" w:rsidRDefault="009E0BCE" w:rsidP="009E0BCE">
      <w:pPr>
        <w:numPr>
          <w:ilvl w:val="1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Наземные автостоянки могут проектироваться не более 9 этажей, подземные – не более 5 подземных этажей. При определении этажности здания цокольный этаж следует считать надземным этажом.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Высота помещений (расстояние от пола до низа выступающих строительных конструкций или инженерных коммуникаций и подвесного оборудования) хранения автомобилей и рамп, а также проездов должна быть на 0,2 м больше высоты наиболее высокого автомобиля, но не менее 2 м. Высота проходов на путях эвакуации людей должна быть не менее 2 м.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помещений мойки, технического обслуживания (ТО) и текущего ремонта (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ОНТП 01-91 с учетом габаритов автомобилей и оборудования.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4.3.Параметры одного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машиноместа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пандусов (рамп), проездов на автостоянке определяются проектом в зависимости от габаритов автомашин, для которых проектируется автостоянка, и их маневренности, а также с учетом технического оснащения (поворотные круги) и планировочного решения автостоянки в соответствии с нормами технологического проектирования с учетом габаритов приближения, указанных в ОНТП 01-91.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Состав и площади помещений автостоянок, в том числе технического назначения, для обслуживающего персонала, санитарных узлов и др. определяются заданием на проектирование в зависимости от размеров автостоянок и особенностей их эксплуатации.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автостоянки, кроме помещений для хранения автомобилей, могут включаться только технические помещения для размещения инженерного оборудования, обслуживающие автостоянку помещения, в том числе для дежурных, для хранения противопожарного инвентаря и др., а также помещения мойки автомашин, постов технического обслуживания (ТО), текущего ремонта (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самообслуживания владельцев автотранспорта.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помещения, включая помещения объединенных инженерных систем (п. 5.3), должны отделяться друг от друга и от помещения хранения автомобилей противопожарными перегородками 1-го типа. Выходы из этих </w:t>
      </w: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помещений допускаются через помещения хранения автомобилей, выезды из помещений ТО и 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предусматривать минуя зоны хранения автомобилей.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Вместимость автостоянок определяется техническим заданием на проектирование в соответствии с оценкой вредных выбросов в атмосферу и внешнего шума. Число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пристраиваемых или встраиваемых автостоянках определяется заданием на проектирование в соответствии с оценкой вредных выбросов в атмосферу, а также с учетом особенностей здания, к которому автостоянка пристраивается или в которое встраивается.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автостоянок под зданиями детских дошкольных учреждений, школ, детских домов и стационаров лечебных учреждений не допускается.</w:t>
      </w:r>
    </w:p>
    <w:p w:rsidR="009E0BCE" w:rsidRPr="009E0BCE" w:rsidRDefault="009E0BCE" w:rsidP="009E0BCE">
      <w:pPr>
        <w:numPr>
          <w:ilvl w:val="1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 и сооружения автостоянок относятся по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пожароопасности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категории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помещения хранения автомобилей - В1-В4.</w:t>
      </w:r>
    </w:p>
    <w:p w:rsidR="009E0BCE" w:rsidRPr="009E0BCE" w:rsidRDefault="009E0BCE" w:rsidP="009E0BCE">
      <w:pPr>
        <w:numPr>
          <w:ilvl w:val="1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огнестойкости и класс конструктивной пожарной опасности закрытых надземных автостоянок, допустимое число этажей и площадь этажа в пределах пожарного отсека следует принимать в соответствии с СП 2.13130.2009 (табл. 2).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CE" w:rsidRPr="009E0BCE" w:rsidRDefault="009E0BCE" w:rsidP="009E0BC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765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8"/>
        <w:gridCol w:w="2183"/>
        <w:gridCol w:w="1709"/>
        <w:gridCol w:w="1355"/>
        <w:gridCol w:w="1355"/>
      </w:tblGrid>
      <w:tr w:rsidR="009E0BCE" w:rsidRPr="009E0BCE" w:rsidTr="009E0BCE">
        <w:trPr>
          <w:tblCellSpacing w:w="0" w:type="dxa"/>
        </w:trPr>
        <w:tc>
          <w:tcPr>
            <w:tcW w:w="13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огнестойкости здания (сооружения)</w:t>
            </w:r>
          </w:p>
        </w:tc>
        <w:tc>
          <w:tcPr>
            <w:tcW w:w="15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конструктивной пожарной опасности</w:t>
            </w:r>
          </w:p>
        </w:tc>
        <w:tc>
          <w:tcPr>
            <w:tcW w:w="13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Допустимое количество этажей</w:t>
            </w:r>
          </w:p>
        </w:tc>
        <w:tc>
          <w:tcPr>
            <w:tcW w:w="26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этажа в пределах пожарного отсека (кв. м), не более</w:t>
            </w:r>
          </w:p>
        </w:tc>
      </w:tr>
      <w:tr w:rsidR="009E0BCE" w:rsidRPr="009E0BCE" w:rsidTr="009E0BC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0BCE" w:rsidRPr="009E0BCE" w:rsidRDefault="009E0BCE" w:rsidP="009E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0BCE" w:rsidRPr="009E0BCE" w:rsidRDefault="009E0BCE" w:rsidP="009E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0BCE" w:rsidRPr="009E0BCE" w:rsidRDefault="009E0BCE" w:rsidP="009E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Одно-этажного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Много-этажного</w:t>
            </w:r>
            <w:proofErr w:type="spellEnd"/>
            <w:proofErr w:type="gramEnd"/>
          </w:p>
        </w:tc>
      </w:tr>
      <w:tr w:rsidR="009E0BCE" w:rsidRPr="009E0BCE" w:rsidTr="009E0BCE">
        <w:trPr>
          <w:tblCellSpacing w:w="0" w:type="dxa"/>
        </w:trPr>
        <w:tc>
          <w:tcPr>
            <w:tcW w:w="13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I, II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End"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</w:t>
            </w:r>
          </w:p>
        </w:tc>
      </w:tr>
      <w:tr w:rsidR="009E0BCE" w:rsidRPr="009E0BCE" w:rsidTr="009E0BC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0BCE" w:rsidRPr="009E0BCE" w:rsidRDefault="009E0BCE" w:rsidP="009E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9E0BCE" w:rsidRPr="009E0BCE" w:rsidTr="009E0BCE">
        <w:trPr>
          <w:tblCellSpacing w:w="0" w:type="dxa"/>
        </w:trPr>
        <w:tc>
          <w:tcPr>
            <w:tcW w:w="13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End"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</w:t>
            </w:r>
          </w:p>
        </w:tc>
      </w:tr>
      <w:tr w:rsidR="009E0BCE" w:rsidRPr="009E0BCE" w:rsidTr="009E0BC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0BCE" w:rsidRPr="009E0BCE" w:rsidRDefault="009E0BCE" w:rsidP="009E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</w:tr>
      <w:tr w:rsidR="009E0BCE" w:rsidRPr="009E0BCE" w:rsidTr="009E0BCE">
        <w:trPr>
          <w:tblCellSpacing w:w="0" w:type="dxa"/>
        </w:trPr>
        <w:tc>
          <w:tcPr>
            <w:tcW w:w="13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End"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BCE" w:rsidRPr="009E0BCE" w:rsidTr="009E0BC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0BCE" w:rsidRPr="009E0BCE" w:rsidRDefault="009E0BCE" w:rsidP="009E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BCE" w:rsidRPr="009E0BCE" w:rsidTr="009E0BC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0BCE" w:rsidRPr="009E0BCE" w:rsidRDefault="009E0BCE" w:rsidP="009E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BCE" w:rsidRPr="009E0BCE" w:rsidTr="009E0BCE">
        <w:trPr>
          <w:tblCellSpacing w:w="0" w:type="dxa"/>
        </w:trPr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нормируется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Примечания: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многоэтажных автостоянок с полуэтажами общее число этажей определяется как число полуэтажей, деленное на два; площадь этажа определяется как сумма двух смежных полуэтажей.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Степень огнестойкости и класс конструктивной пожарной опасности автостоянки при индивидуальном или блокированном жилом доме не нормируется.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Специальные требования к автостоянкам с механизированными устройствами парковки автомобилей изложены в разделе 6, специальные требования к надстройке существующих автостоянок - в разделе 8.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Открытая стоянка автомобилей на эксплуатируемой кровле без установки навеса не учитывается при подсчете надземных этажей, при устройстве навеса - она включается в число надземных этажей и требует устройства закольцованных </w:t>
      </w:r>
      <w:proofErr w:type="spellStart"/>
      <w:r w:rsidRPr="009E0B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сухотрубов</w:t>
      </w:r>
      <w:proofErr w:type="spellEnd"/>
      <w:r w:rsidRPr="009E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 7.8 настоящих норм. Автостоянки на эксплуатируемой кровле должны быть обеспечены эвакуационными выходами в соответствии с п. 4.23 настоящих норм. Установка временных укрытий для автомобилей (типа «ракушка» и др.) на эксплуатируемой кровле не допускается.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CE" w:rsidRPr="009E0BCE" w:rsidRDefault="009E0BCE" w:rsidP="009E0BCE">
      <w:pPr>
        <w:numPr>
          <w:ilvl w:val="1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Автостоянки, пристраиваемые к зданиям другого назначения, должны быть отделены от этих зданий противопожарными стенами 1-го типа.</w:t>
      </w:r>
    </w:p>
    <w:p w:rsidR="009E0BCE" w:rsidRPr="009E0BCE" w:rsidRDefault="009E0BCE" w:rsidP="009E0BCE">
      <w:pPr>
        <w:numPr>
          <w:ilvl w:val="1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 автостоянок, встроенных в здания другого назначения, должны иметь степень огнестойкости не менее степени огнестойкости здания, в которое они встраиваются, с учетом табл. 2 и отделяться от помещений этих зданий противопожарными стенами и перекрытиями I типа.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 огнестойкости перекрытий и стен, отделяющих автостоянку, встроенную в коттедж, блокированный жилой дом или пристроенную к ним, не нормируется.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встроенные в здание автостоянки и не относящиеся к ней, должны отделяться от помещений автостоянки противопожарными стенами и перекрытиями I типа и проектироваться в соответствии с действующими нормами.</w:t>
      </w:r>
    </w:p>
    <w:p w:rsidR="009E0BCE" w:rsidRPr="009E0BCE" w:rsidRDefault="009E0BCE" w:rsidP="009E0BCE">
      <w:pPr>
        <w:numPr>
          <w:ilvl w:val="1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автостоянок под жилыми домами (в подземных или первых надземных этажах) жилые комнаты непосредственно над помещениями хранения автомобилей размещать не допускается, названные помещения необходимо разделять нежилым помещением (этажом).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 проемами въездных (выездных) ворот встроенных автостоянок следует предусматривать козырьки согласно ВСН 01-89.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требования не распространяются на автостоянки коттеджей, блокированных жилых домов.</w:t>
      </w:r>
    </w:p>
    <w:p w:rsidR="009E0BCE" w:rsidRPr="009E0BCE" w:rsidRDefault="009E0BCE" w:rsidP="009E0BCE">
      <w:pPr>
        <w:numPr>
          <w:ilvl w:val="1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автостоянках для постоянного хранения автомобилей, имеющих 200 и более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предусматривать мойку автомобилей с очистными сооружениями и оборотной системой водоснабжения согласно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2.04.03-85 и технологическим нормам.</w:t>
      </w:r>
    </w:p>
    <w:p w:rsidR="009E0BCE" w:rsidRPr="009E0BCE" w:rsidRDefault="009E0BCE" w:rsidP="009E0BCE">
      <w:pPr>
        <w:numPr>
          <w:ilvl w:val="1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постов и тип мойки (ручная или автоматическая) принимаются проектом из условия организации 1 поста на 200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далее 1 пост на каждые последующие полные и неполные 200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фиксируются в задании на проектирование.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вместо устройства мойки использование существующих моечных пунктов, располагающихся в радиусе не более 400 м от проектируемого объекта.</w:t>
      </w:r>
    </w:p>
    <w:p w:rsidR="009E0BCE" w:rsidRPr="009E0BCE" w:rsidRDefault="009E0BCE" w:rsidP="009E0BCE">
      <w:pPr>
        <w:numPr>
          <w:ilvl w:val="1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подземных автостоянках мойку автомобилей, посты ТО и 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помещения технического персонала, насосные пожаротушения и водоснабжения, трансформаторные с сухими трансформаторами допускается размещать не ниже первого (верхнего) этажа подземного сооружения. Размещение других технических помещений подземной автостоянки (автоматические насосные станции для откачки воды при тушении пожара и других утечек воды; водомерные узлы, помещения электроснабжения, вентиляционные камеры, тепловые пункты и др.) не ограничивается. Двери этих помещений должны быть противопожарными с пределом огнестойкости Е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 Посты ТО и 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автостоянках, размещаемых под жилыми домами, допускается предусматривать только вне габаритов расположенных над автостоянками жилых домов.</w:t>
      </w:r>
    </w:p>
    <w:p w:rsidR="009E0BCE" w:rsidRPr="009E0BCE" w:rsidRDefault="009E0BCE" w:rsidP="009E0BCE">
      <w:pPr>
        <w:numPr>
          <w:ilvl w:val="1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по обслуживанию автомобилей, 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п. 4.13, не допускается размещать в подземных этажах. Эти помещения допускается предусматривать пристроенными или встроенными в здание автостоянки при условии отделения их противопожарными стенами 2-го типа (или противопожарными перегородками 1-го типа) с соответствующими противопожарными дверями (воротами) и глухими противопожарными перекрытиями 3-го типа. Устройство выездов из помещения хранения автомобилей через помещения ТО и 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Сообщение помещений автостоянок, оборудованных автоматическим пожаротушением, с помещениями другого назначения (не входящими в комплекс автостоянки) допускается через </w:t>
      </w:r>
      <w:proofErr w:type="spellStart"/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тамбур-шлюзы</w:t>
      </w:r>
      <w:proofErr w:type="spellEnd"/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подпором воздуха при пожаре или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дренчерными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завесами над проемом со стороны автостоянки с автоматическим пуском в соответствии с требованиями СП 1.13130.2009.</w:t>
      </w:r>
    </w:p>
    <w:p w:rsidR="009E0BCE" w:rsidRPr="009E0BCE" w:rsidRDefault="009E0BCE" w:rsidP="009E0BCE">
      <w:pPr>
        <w:numPr>
          <w:ilvl w:val="1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устройства в автостоянках мест разгрузки автомобилей допускается их предусматривать в отдельных помещениях, оборудованных автоматическим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спринклерным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пожаротушением и изолированных от помещений автостоянки противопожарными перегородками 1-го типа; при этом въезд в указанные помещения при количестве мест разгрузки не более двух допускается осуществлять через помещения автостоянки. При этом планировочное решение должно исключать возможность складирования в названных местах автостоянки товаров, тары и др.</w:t>
      </w:r>
    </w:p>
    <w:p w:rsidR="009E0BCE" w:rsidRPr="009E0BCE" w:rsidRDefault="009E0BCE" w:rsidP="009E0BCE">
      <w:pPr>
        <w:numPr>
          <w:ilvl w:val="1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зданиях автостоянок закрытого и открытого типа для хранения автотранспорта допускается предусматривать боксы. Устройство боксов в автостоянках подземного типа и обвалованных автостоянках не допускается.</w:t>
      </w:r>
    </w:p>
    <w:p w:rsidR="009E0BCE" w:rsidRPr="009E0BCE" w:rsidRDefault="009E0BCE" w:rsidP="009E0BCE">
      <w:pPr>
        <w:numPr>
          <w:ilvl w:val="1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 (сооружения) автостоянок с подземной частью следует проектировать в соответствии с требованиями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2.06.15-85 и других нормативных документов, действующих на территории Воронежской области.</w:t>
      </w:r>
    </w:p>
    <w:p w:rsidR="009E0BCE" w:rsidRPr="009E0BCE" w:rsidRDefault="009E0BCE" w:rsidP="009E0BCE">
      <w:pPr>
        <w:numPr>
          <w:ilvl w:val="1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Междуэтажные перекрытия автостоянок с изолированными рампами (п. 4.27) не должны иметь проемов, щелей и т.д., через которые возможно проникновение дыма. Зазоры в местах прохода инженерных коммуникаций через междуэтажные перекрытия должны иметь уплотнения, обеспечивающие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газонепроницаемость и пределы огнестойкости не менее установленных для указанных перекрытий.</w:t>
      </w:r>
    </w:p>
    <w:p w:rsidR="009E0BCE" w:rsidRPr="009E0BCE" w:rsidRDefault="009E0BCE" w:rsidP="009E0BCE">
      <w:pPr>
        <w:numPr>
          <w:ilvl w:val="1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Покрытие полов автостоянки должно быть стойким к воздействию нефтепродуктов и рассчитано на сухую (в том числе механизированную) уборку помещений.</w:t>
      </w:r>
    </w:p>
    <w:p w:rsidR="009E0BCE" w:rsidRPr="009E0BCE" w:rsidRDefault="009E0BCE" w:rsidP="009E0BCE">
      <w:pPr>
        <w:numPr>
          <w:ilvl w:val="1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огнестойкости и класс конструктивной пожарной опасности подземных 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автостоянок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допустимое количество этажей следует принимать по табл. 3, при этом площадь этажа в пределах пожарного отсека не должна превышать 3000 кв. м.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CE" w:rsidRPr="009E0BCE" w:rsidRDefault="009E0BCE" w:rsidP="009E0BC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615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7"/>
        <w:gridCol w:w="2256"/>
        <w:gridCol w:w="1903"/>
      </w:tblGrid>
      <w:tr w:rsidR="009E0BCE" w:rsidRPr="009E0BCE" w:rsidTr="009E0BCE">
        <w:trPr>
          <w:trHeight w:val="252"/>
          <w:tblCellSpacing w:w="0" w:type="dxa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огнестойкости здания </w:t>
            </w: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(сооружения)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Класс конструктивной пожарной </w:t>
            </w: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опасности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Допустимое количество этажей</w:t>
            </w:r>
          </w:p>
        </w:tc>
      </w:tr>
      <w:tr w:rsidR="009E0BCE" w:rsidRPr="009E0BCE" w:rsidTr="009E0BCE">
        <w:trPr>
          <w:trHeight w:val="72"/>
          <w:tblCellSpacing w:w="0" w:type="dxa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&lt;*&gt;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End"/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E0BCE" w:rsidRPr="009E0BCE" w:rsidTr="009E0BCE">
        <w:trPr>
          <w:trHeight w:val="72"/>
          <w:tblCellSpacing w:w="0" w:type="dxa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End"/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E0BCE" w:rsidRPr="009E0BCE" w:rsidTr="009E0BCE">
        <w:trPr>
          <w:trHeight w:val="60"/>
          <w:tblCellSpacing w:w="0" w:type="dxa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&lt;**&gt;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End"/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E0BCE" w:rsidRPr="009E0BCE" w:rsidRDefault="009E0BCE" w:rsidP="009E0BCE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По специальным техническим условиям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Для отдельно стоящих автостоянок.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CE" w:rsidRPr="009E0BCE" w:rsidRDefault="009E0BCE" w:rsidP="009E0BCE">
      <w:pPr>
        <w:numPr>
          <w:ilvl w:val="1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 отсеки должны разделяться между собой противопожарными стенами и перекрытиями 1-го типа с соответствующими противопожарными воротами и дверями.</w:t>
      </w:r>
    </w:p>
    <w:p w:rsidR="009E0BCE" w:rsidRPr="009E0BCE" w:rsidRDefault="009E0BCE" w:rsidP="009E0BCE">
      <w:pPr>
        <w:numPr>
          <w:ilvl w:val="1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Двери и ворота в противопожарных стенах (перегородках), в тамбурах - шлюзах должны закрываться автоматическими устройствами, сблокированными с пожарной автоматикой, и вручную. Дымовые пожарные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извещатели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устанавливать с двух сторон от закрываемого проема.</w:t>
      </w:r>
    </w:p>
    <w:p w:rsidR="009E0BCE" w:rsidRPr="009E0BCE" w:rsidRDefault="009E0BCE" w:rsidP="009E0BCE">
      <w:pPr>
        <w:numPr>
          <w:ilvl w:val="1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выездов (въездов), эвакуационных выходов с этажей автостоянки, а также их проектирование должно предусматриваться в соответствии с требованиями СП 1.13130.2009.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подземных и наземных автостоянках вместимостью до 100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вместо рамп предусматривать устройство грузовых лифтов для транспортировки автомобилей. При размещении автостоянок на двух и более этажах необходимо не менее двух грузовых лифтов в шахтах с подпором воздуха при пожаре, ограждающие конструкции, которых должны быть с пределами огнестойкости не менее пределов огнестойкости междуэтажных перекрытий. Двери лифтовых шахт должны иметь предел огнестойкости EI 60. Перед поэтажными входами в лифты следует предусматривать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дренчерные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завесы с автоматическим пуском при пожаре и воздушные завесы согласно требованиям п. 4.26.</w:t>
      </w:r>
    </w:p>
    <w:p w:rsidR="009E0BCE" w:rsidRPr="009E0BCE" w:rsidRDefault="009E0BCE" w:rsidP="009E0BCE">
      <w:pPr>
        <w:numPr>
          <w:ilvl w:val="1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устройство одного из двух выездов через смежный пожарный отсек при устройстве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дренчерной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завесы с автоматическим пуском при пожаре над проемом с противопожарными воротами 1-го типа.</w:t>
      </w:r>
    </w:p>
    <w:p w:rsidR="009E0BCE" w:rsidRPr="009E0BCE" w:rsidRDefault="009E0BCE" w:rsidP="009E0BCE">
      <w:pPr>
        <w:numPr>
          <w:ilvl w:val="1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выхода на рампу или в смежный пожарный отсек вблизи ворот или в воротах следует предусматривать противопожарную дверь (калитку). Высота порога калитки не должна превышать 15 см.</w:t>
      </w:r>
    </w:p>
    <w:p w:rsidR="009E0BCE" w:rsidRPr="009E0BCE" w:rsidRDefault="009E0BCE" w:rsidP="009E0BCE">
      <w:pPr>
        <w:numPr>
          <w:ilvl w:val="1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для всех этажей стоянки пандусы (рампы), предназначенные для въезда (выезда), при двух и более этажах автостоянок должны отделяться (быть изолированы) на каждом </w:t>
      </w: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этаже от помещений для хранения автомобилей, ТО и 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противопожарными стенами, воротами, тамбурами - шлюзами в соответствии с требованиями СП 7.13130.2009. 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подземных автостоянках допускается взамен тамбуров - шлюзов перед въездом в изолированные рампы с этажей предусматривать устройство противопожарных ворот 1-го типа с воздушной завесой над ними со стороны помещения хранения автомобилей посредством настильных воздушных струй от сопловых аппаратов со скоростью истечения воздуха не менее 10 м/с при начальной толщине струи не менее 0,03 м и ширине струи не менее ширины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защищаемого проема.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наземных автостоянках допускается предусматривать взамен противопожарных ворот в изолированных рампах автоматические устройства (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противодымные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экраны), выполненные из негорючих материалов с вертикальными направляющими и перекрывающие поэтажно проем рампы при пожаре не менее чем на половину его высоты с автоматической водяной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дренчерной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завесой в две нитки с расходом воды 1 л/с на метр ширины проема.</w:t>
      </w:r>
      <w:proofErr w:type="gramEnd"/>
    </w:p>
    <w:p w:rsidR="009E0BCE" w:rsidRPr="009E0BCE" w:rsidRDefault="009E0BCE" w:rsidP="009E0BCE">
      <w:pPr>
        <w:numPr>
          <w:ilvl w:val="1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неизолированных рамп допускается в наземных автостоянках:</w:t>
      </w:r>
    </w:p>
    <w:p w:rsidR="009E0BCE" w:rsidRPr="009E0BCE" w:rsidRDefault="009E0BCE" w:rsidP="009E0BCE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реконструкции существующих зданий автостоянок I и II степени огнестойкости; при этом должны быть предусмотрены пожарный отсек (отсеки), определяемые как сумма площадей этажей, соединенных неизолированными рампами. Площадь такого противопожарного отсека не должна превышать 10 400 кв. м;</w:t>
      </w:r>
    </w:p>
    <w:p w:rsidR="009E0BCE" w:rsidRPr="009E0BCE" w:rsidRDefault="009E0BCE" w:rsidP="009E0BCE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зданиях до 3 этажей включительно I и II степени огнестойкости при суммарной площади этажей не более 10 400 кв. м;</w:t>
      </w:r>
    </w:p>
    <w:p w:rsidR="009E0BCE" w:rsidRPr="009E0BCE" w:rsidRDefault="009E0BCE" w:rsidP="009E0BCE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автостоянках открытого типа.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оборудовании автостоянок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спринклерной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системой пожаротушения по всей площади этажа, включая рампы (пандусы), и защитой проемов, соединяющих этажи (полуэтажи), автоматическими устройствами (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противодымными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экранами), перекрывающими указанные проемы на этаже (полуэтаже) при пожаре (п. 4.26), допускается устройство неизолированных рамп в наземных автостоянках до 6 этажей включительно и подземных до 2 этажей. Устройство общей неизолированной рампы между подземными и наземными этажами не допускается.</w:t>
      </w:r>
    </w:p>
    <w:p w:rsidR="009E0BCE" w:rsidRPr="009E0BCE" w:rsidRDefault="009E0BCE" w:rsidP="009E0BCE">
      <w:pPr>
        <w:numPr>
          <w:ilvl w:val="1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Продольные и поперечные уклоны рамп принимаются в проекте согласно технологическим требованиям. Необходимость устройства пешеходной дорожки по рампе определяется </w:t>
      </w: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проектом. Покрытие рампы и пешеходных дорожек должно исключать скольжение.</w:t>
      </w:r>
    </w:p>
    <w:p w:rsidR="009E0BCE" w:rsidRPr="009E0BCE" w:rsidRDefault="009E0BCE" w:rsidP="009E0BCE">
      <w:pPr>
        <w:numPr>
          <w:ilvl w:val="1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движения автомобилей внутри автостоянок должны быть оснащены ориентирующими водителя указателями.</w:t>
      </w:r>
    </w:p>
    <w:p w:rsidR="009E0BCE" w:rsidRPr="009E0BCE" w:rsidRDefault="009E0BCE" w:rsidP="009E0BCE">
      <w:pPr>
        <w:numPr>
          <w:ilvl w:val="1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Грузовые лифты для транспортировки автомобилей должны отвечать требованиям ГОСТ 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53296-2009. Габариты и грузоподъемность грузовых лифтов определяются заданием на проектирование с учетом типов автомашин и особенностей объемно - планировочного решения автостоянки согласно технологическим требованиям.</w:t>
      </w:r>
    </w:p>
    <w:p w:rsidR="009E0BCE" w:rsidRPr="009E0BCE" w:rsidRDefault="009E0BCE" w:rsidP="009E0BCE">
      <w:pPr>
        <w:numPr>
          <w:ilvl w:val="1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Въе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зд в гр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узовой лифт (выезд из него) на посадочном этаже автостоянок всех типов необходимо предусматривать непосредственно с улицы, допускается въезд (выезд) из тоннеля, имеющего непосредственную связь с улицей.</w:t>
      </w:r>
    </w:p>
    <w:p w:rsidR="009E0BCE" w:rsidRPr="009E0BCE" w:rsidRDefault="009E0BCE" w:rsidP="009E0BCE">
      <w:pPr>
        <w:numPr>
          <w:ilvl w:val="1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устройства лифтов для людей в автостоянках всех типов определяется заданием на проектирование и проектом.</w:t>
      </w:r>
    </w:p>
    <w:p w:rsidR="009E0BCE" w:rsidRPr="009E0BCE" w:rsidRDefault="009E0BCE" w:rsidP="009E0BCE">
      <w:pPr>
        <w:numPr>
          <w:ilvl w:val="1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Лифты автостоянок, кроме имеющих режим "перевозка пожарных подразделений", оборудуются автоматическими устройствами, обеспечивающими их подъем (опускание) при пожаре на основной посадочный этаж, открывание дверей и последующее отключение.</w:t>
      </w:r>
    </w:p>
    <w:p w:rsidR="009E0BCE" w:rsidRPr="009E0BCE" w:rsidRDefault="009E0BCE" w:rsidP="009E0BCE">
      <w:pPr>
        <w:numPr>
          <w:ilvl w:val="1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Лестничные клетки и шахты лифтов автостоянок должны быть с подпором воздуха при пожаре:</w:t>
      </w:r>
    </w:p>
    <w:p w:rsidR="009E0BCE" w:rsidRPr="009E0BCE" w:rsidRDefault="009E0BCE" w:rsidP="009E0BCE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двух и более подземных этажах;</w:t>
      </w:r>
    </w:p>
    <w:p w:rsidR="009E0BCE" w:rsidRPr="009E0BCE" w:rsidRDefault="009E0BCE" w:rsidP="009E0BCE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лестничные клетки и лифты связывают подземную и наземную части автостоянки;</w:t>
      </w:r>
    </w:p>
    <w:p w:rsidR="009E0BCE" w:rsidRPr="009E0BCE" w:rsidRDefault="009E0BCE" w:rsidP="009E0BCE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лестничные клетки и лифты связывают подземную автостоянку с наземными этажами здания другого назначения.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применять вместо незадымляемых лестничных клеток типа Н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незадымляемые лестничные клетки типа Н3. В одноэтажных подземных автостоянках лестничные клетки, имеющие только непосредственные выходы наружу, могут быть выполнены без подпора воздуха при пожаре.</w:t>
      </w:r>
    </w:p>
    <w:p w:rsidR="009E0BCE" w:rsidRPr="009E0BCE" w:rsidRDefault="009E0BCE" w:rsidP="009E0BCE">
      <w:pPr>
        <w:numPr>
          <w:ilvl w:val="1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в жилых домах и в расположенных под ними автостоянках общих лестничных клеток и лифтов не допускается. В индивидуальных жилых домах при размещении под ними автостоянок допускается проектировать общие лестничные клетки и лифты по согласованию с органами государственного пожарного надзора.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жилых домах I категории и в общественных зданиях при размещении под ними автостоянок допускается проектировать общие шахты лифтов, </w:t>
      </w: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имеющих режим "перевозка пожарных подразделений"; при условии выполнения на этажах автостоянки двойного шлюзования с подпором воздуха в оба шлюза (в 1-й, примыкающий к шахте лифта, тамбур-шлюз из расчета закрытой двери, во 2-й - из расчета открытой двери) и устройства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дренчерной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завесы в соответствии с п. 4.14.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расположенной под жилым домом автостоянки допускается предусматривать до вестибюля на первом этаже устройство лифта без его продолжения на вышележащие этажи (с учетом требований п. 4.14 настоящих норм) и без выхода в технические этажи, при этом лестничная клетка жилого дома, кроме выхода в вестибюль, должна иметь выход непосредственно наружу.</w:t>
      </w:r>
    </w:p>
    <w:p w:rsidR="009E0BCE" w:rsidRPr="009E0BCE" w:rsidRDefault="009E0BCE" w:rsidP="009E0BCE">
      <w:pPr>
        <w:numPr>
          <w:ilvl w:val="1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подземных автостоянках с 3 этажами и более и в наземных автостоянках с 5 этажами и более следует предусматривать на каждый пожарный отсек не менее одного лифта, имеющего режим работы «перевозка пожарных подразделений» согласно ГОСТ 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53296-2009.</w:t>
      </w:r>
    </w:p>
    <w:p w:rsidR="009E0BCE" w:rsidRPr="009E0BCE" w:rsidRDefault="009E0BCE" w:rsidP="009E0BCE">
      <w:pPr>
        <w:numPr>
          <w:ilvl w:val="1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автостоянках необходимо предусматривать мероприятия по их доступности для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9E0BCE" w:rsidRPr="009E0BCE" w:rsidRDefault="009E0BCE" w:rsidP="009E0BCE">
      <w:pPr>
        <w:numPr>
          <w:ilvl w:val="1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Двери лестничных клеток в автостоянках должны быть противопожарными с пределом огнестойкости не менее Е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CE" w:rsidRPr="009E0BCE" w:rsidRDefault="009E0BCE" w:rsidP="009E0BCE">
      <w:pPr>
        <w:numPr>
          <w:ilvl w:val="0"/>
          <w:numId w:val="35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3" w:name="_Toc246058169"/>
      <w:bookmarkEnd w:id="13"/>
      <w:r w:rsidRPr="009E0B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Инженерное оборудование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CE" w:rsidRPr="009E0BCE" w:rsidRDefault="009E0BCE" w:rsidP="009E0BCE">
      <w:pPr>
        <w:numPr>
          <w:ilvl w:val="1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Инженерные системы и оборудование автостоянок следует проектировать в соответствии со СП 7.13130.2009 и настоящими нормами.</w:t>
      </w:r>
    </w:p>
    <w:p w:rsidR="009E0BCE" w:rsidRPr="009E0BCE" w:rsidRDefault="009E0BCE" w:rsidP="009E0BCE">
      <w:pPr>
        <w:numPr>
          <w:ilvl w:val="1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оснащения автостоянки хозяйственно - питьевым водопроводом, горячим водоснабжением, канализацией, отоплением, электроснабжением, необходимость устройства санитарных узлов определяется заданием на проектирование с учетом размеров автостоянки, режима ее эксплуатации, условий подключения к инженерным коммуникациям и в соответствии с настоящими нормами.</w:t>
      </w:r>
    </w:p>
    <w:p w:rsidR="009E0BCE" w:rsidRPr="009E0BCE" w:rsidRDefault="009E0BCE" w:rsidP="009E0BCE">
      <w:pPr>
        <w:numPr>
          <w:ilvl w:val="1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Инженерные системы, обеспечивающие пожарную безопасность автостоянок вместимостью более 50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встроенных (пристроенных) в здания другого назначения, должны быть автономны от инженерных систем этих зданий, при вместимости 50 и менее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разделение указанных систем не требуется, кроме системы вентиляции (в т.ч.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противодымной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Допускается объединение групп насосов с учетом объема максимального расхода воды при тушении пожара.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транзитной прокладки через помещения автостоянки инженерных коммуникаций, принадлежащих зданию, в которое встроена (пристроена) автостоянка, указанные коммуникации, кроме водопровода, канализации и теплоснабжения из металлических труб, должны быть изолированы строительными конструкциями с пределом огнестойкости не менее Е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150.</w:t>
      </w:r>
    </w:p>
    <w:p w:rsidR="009E0BCE" w:rsidRPr="009E0BCE" w:rsidRDefault="009E0BCE" w:rsidP="009E0BCE">
      <w:pPr>
        <w:numPr>
          <w:ilvl w:val="1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Венткамеры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вытяжных систем и систем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дымоудаления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автостоянок, расположенных под зданием другого назначения, при прокладке воздуховодов через это здание, следует размещать на верхних технических этажах, рекомендуется размещать на технических этажах, чердаках или на кровле здания с соблюдением нормативных требований по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виброизоляции.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Приточные вентиляционные установки допускается размещать открыто в объеме автостоянок с учетом требований СП 7.13130.2009.</w:t>
      </w:r>
    </w:p>
    <w:p w:rsidR="009E0BCE" w:rsidRPr="009E0BCE" w:rsidRDefault="009E0BCE" w:rsidP="009E0BCE">
      <w:pPr>
        <w:numPr>
          <w:ilvl w:val="1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Обслуживающие автостоянку с изолированными рампами инженерные коммуникации (водопровод, канализация и теплоснабжение), проходящие через перекрытия, должны выполняться из металлических труб; кабельные сети, пересекающие перекрытие, также должны прокладываться в металлических трубах или в коммуникационных нишах (коробах), имеющих предел огнестойкости конструкций в соответствии со СП 2.13130.2009.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подземных автостоянках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электрокабели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провода следует применять с оболочкой, не распространяющей горение;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электрокабели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питающие противопожарные устройства, не должны одновременно использоваться для подводки к другим токоприемникам.</w:t>
      </w:r>
    </w:p>
    <w:p w:rsidR="009E0BCE" w:rsidRPr="009E0BCE" w:rsidRDefault="009E0BCE" w:rsidP="009E0BCE">
      <w:pPr>
        <w:numPr>
          <w:ilvl w:val="1"/>
          <w:numId w:val="3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Инженерные системы автостоянок и оборудование, связанные с пожаротушением (водоснабжение, электроснабжение установок пожаротушения, сигнализации, эвакуационного освещения, оповещения, пожарного лифта, пожарных насосов, в том числе для откачки воды при пожаре, вентиляторов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противодымной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защиты), относятся к I категории надежности.</w:t>
      </w:r>
    </w:p>
    <w:p w:rsidR="009E0BCE" w:rsidRPr="009E0BCE" w:rsidRDefault="009E0BCE" w:rsidP="009E0BCE">
      <w:pPr>
        <w:numPr>
          <w:ilvl w:val="1"/>
          <w:numId w:val="3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Автоматическое пожаротушение (в соответствии с СП 5.13130.2009) следует предусматривать в зданиях и сооружениях автостоянок закрытого типа:</w:t>
      </w:r>
    </w:p>
    <w:p w:rsidR="009E0BCE" w:rsidRPr="009E0BCE" w:rsidRDefault="009E0BCE" w:rsidP="009E0BCE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пристроенных к зданиям другого назначения или встроенных в эти здания вместимостью более 10 автомобилей;</w:t>
      </w:r>
    </w:p>
    <w:p w:rsidR="009E0BCE" w:rsidRPr="009E0BCE" w:rsidRDefault="009E0BCE" w:rsidP="009E0BCE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подземных при 2 этажах и более;</w:t>
      </w:r>
    </w:p>
    <w:p w:rsidR="009E0BCE" w:rsidRPr="009E0BCE" w:rsidRDefault="009E0BCE" w:rsidP="009E0BCE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и II степени огнестойкости наземных одноэтажных площадью 7000 кв. м и более;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IIIa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ниже IV, СО по СП 2.13130.2009) степени огнестойкости площадью 3600 кв. м и более;</w:t>
      </w:r>
      <w:proofErr w:type="gramEnd"/>
    </w:p>
    <w:p w:rsidR="009E0BCE" w:rsidRPr="009E0BCE" w:rsidRDefault="009E0BCE" w:rsidP="009E0BCE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механизированными устройствами парковки автомобилей без участия водителей.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Автостоянки I и II степени огнестойкости наземные одноэтажные площадью менее 7000 кв. м и автостоянки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IIIa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огнестойкости площадью менее 3600 кв. м оборудуются автоматической пожарной сигнализацией в соответствии с СП 5.13130.2009.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 - двухэтажных 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автостоянках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боксового типа с непосредственным выездом наружу из каждого бокса автоматическую пожарную сигнализацию допускается не предусматривать.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 - трехэтажных зданиях автостоянок I и II степени огнестойкости с выездом из каждого бокса непосредственно наружу и предназначенных для хранения личных автомобилей граждан допускается не предусматривать автоматическую пожарную сигнализацию, автоматическое пожаротушение и внутренний противопожарный водопровод независимо от площади застройки, автоматическое и внутреннее пожаротушение независимо от площади застройки при условии выделения указанных боксов противопожарными перегородками I типа и воротами с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пределом огнестойкости Е15 и конструктивной пожарной опасности конструкций 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отдельно стоящих одно-, двухэтажных обвалованных автостоянках I и II степени огнестойкости допускается не предусматривать автоматическое пожаротушение. 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автостоянки следует оборудовать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спринклерной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системой по упрощенной схеме, т.е. без пожарных насосов, с устройством закольцованного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сухотруба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обратными клапанами или задвижками, управляемыми снаружи у патрубков, выведенных для подключения пожарной техники, а также автоматической пожарной сигнализацией.</w:t>
      </w:r>
      <w:proofErr w:type="gramEnd"/>
    </w:p>
    <w:p w:rsidR="009E0BCE" w:rsidRPr="009E0BCE" w:rsidRDefault="009E0BCE" w:rsidP="009E0BCE">
      <w:pPr>
        <w:numPr>
          <w:ilvl w:val="1"/>
          <w:numId w:val="4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противопожарный водопровод автостоянок следует проектировать в соответствии со СП 10.13130.2009.</w:t>
      </w:r>
    </w:p>
    <w:p w:rsidR="009E0BCE" w:rsidRPr="009E0BCE" w:rsidRDefault="009E0BCE" w:rsidP="009E0BCE">
      <w:pPr>
        <w:numPr>
          <w:ilvl w:val="1"/>
          <w:numId w:val="4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Противопожарный водопровод и система автоматического пожаротушения в подземных автостоянках и надземных с 3 этажами и более должны выполняться отдельно с выведенными наружу патрубками диаметром 89 (77) мм, оборудованными вентилями и соединительными головками. Число патрубков должно предусматриваться исходя из условия обеспечения подачи расчетного количества огнетушащих веществ через установки автоматического пожаротушения и сеть внутреннего водопровода при использовании передвижной пожарной </w:t>
      </w: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техники. Соединительные головки необходимо размещать снаружи с расчетом установки одновременно не менее 2 пожарных автомобилей.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вместимости автостоянки до 100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 допускается не разделять указанные системы и не предусматривать для них раздельные группы насосов.</w:t>
      </w:r>
    </w:p>
    <w:p w:rsidR="009E0BCE" w:rsidRPr="009E0BCE" w:rsidRDefault="009E0BCE" w:rsidP="009E0BCE">
      <w:pPr>
        <w:numPr>
          <w:ilvl w:val="1"/>
          <w:numId w:val="4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устройства противопожарного водопровода, автоматического пожаротушения и автоматической пожарной сигнализации в автостоянках, пристроенных (встроенных) к коттеджам и блокированным жилым домам, определяются заданием на проектирование.</w:t>
      </w:r>
    </w:p>
    <w:p w:rsidR="009E0BCE" w:rsidRPr="009E0BCE" w:rsidRDefault="009E0BCE" w:rsidP="009E0BCE">
      <w:pPr>
        <w:numPr>
          <w:ilvl w:val="1"/>
          <w:numId w:val="4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питающей сети между пожарными насосами и сетью противопожарного водопровода следует предусматривать обратные клапаны.</w:t>
      </w:r>
    </w:p>
    <w:p w:rsidR="009E0BCE" w:rsidRPr="009E0BCE" w:rsidRDefault="009E0BCE" w:rsidP="009E0BCE">
      <w:pPr>
        <w:numPr>
          <w:ilvl w:val="1"/>
          <w:numId w:val="4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перекрытиях автостоянок следует предусматривать устройства для отвода воды при тушении пожара. В подземных автостоянках трубопроводы для указанного отвода воды должны быть раздельными для каждого подземного этажа.</w:t>
      </w:r>
    </w:p>
    <w:p w:rsidR="009E0BCE" w:rsidRPr="009E0BCE" w:rsidRDefault="009E0BCE" w:rsidP="009E0BCE">
      <w:pPr>
        <w:numPr>
          <w:ilvl w:val="1"/>
          <w:numId w:val="4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Автоматические насосные станции для откачки воды при тушении пожара, удаления вод от различных утечек должны быть оснащены резервуарами для сбора воды вместимостью согласно расчету, но не менее 2 куб. 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BCE" w:rsidRPr="009E0BCE" w:rsidRDefault="009E0BCE" w:rsidP="009E0BCE">
      <w:pPr>
        <w:numPr>
          <w:ilvl w:val="1"/>
          <w:numId w:val="4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Отопление, вентиляцию и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противодымную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защиту автостоянок следует проектировать с учетом требований СП 7.13130.2009, ОНТП 01-91 и настоящих норм.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Отопление и вентиляцию помещений мойки, ТО и 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проектировать с учетом требований ВСН 01-89.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запорно-регулировочной арматуры отопления над местами стоянок автомобилей не допускается.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неотапливаемых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 стоящих наземных гаражах допускается устройство автономных вытяжных вентиляторов в боксах.</w:t>
      </w:r>
    </w:p>
    <w:p w:rsidR="009E0BCE" w:rsidRPr="009E0BCE" w:rsidRDefault="009E0BCE" w:rsidP="009E0BCE">
      <w:pPr>
        <w:numPr>
          <w:ilvl w:val="1"/>
          <w:numId w:val="4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Вентиляцию помещений моек, ТО, 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рамп следует проектировать отдельно от вентиляции помещений хранения автомобилей.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Вентиляцию подземных автостоянок следует проектировать в соответствии с требованиями СП 7.13130.2009.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наземных автостоянках допускается предусматривать общие для всех этажей (в пределах обслуживаемого пожарного отсека) системы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приточно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вытяжной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общеобменной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вентиляции при выполнении противопожарных мероприятий, изложенных в пункте 5.16.</w:t>
      </w:r>
    </w:p>
    <w:p w:rsidR="009E0BCE" w:rsidRPr="009E0BCE" w:rsidRDefault="009E0BCE" w:rsidP="009E0BCE">
      <w:pPr>
        <w:numPr>
          <w:ilvl w:val="1"/>
          <w:numId w:val="4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вентиляционных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воздухоотводах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их пересечения с противопожарными преградами, а также в местах присоединения горизонтальных воздуховодов к вертикальным коллекторам и шахтам должны устанавливаться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огнезадерживающие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клапаны с пределом огнестойкости ЕI 60.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 воздуховодов, транзитных для данного помещения (в пределах обслуживаемого пожарного отсека), должны предусматриваться с пределом огнестойкости не менее EI 60, а за пределами пожарного отсека – воздуховоды с пределом огнестойкости EI 150.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всех многоэтажных автостоянок шахты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дымоудаления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пожарного отсека следует проектировать 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обеспечивая предел их огнестойкости, равный пределу огнестойкости пересекаемых перекрытий.</w:t>
      </w:r>
    </w:p>
    <w:p w:rsidR="009E0BCE" w:rsidRPr="009E0BCE" w:rsidRDefault="009E0BCE" w:rsidP="009E0BCE">
      <w:pPr>
        <w:numPr>
          <w:ilvl w:val="1"/>
          <w:numId w:val="4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от вытяжных вентиляционных шахт, а также от шахт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дымоудаления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автостоянок до зданий другого назначения и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вентвыбросы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подземных гаражей-стоянок следует предусматривать в соответствии с требованиями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2.2.1/2.1.1.1200-03 и с учетом защиты от внешнего шума.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 вытяжного воздуха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общеобменной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вентиляции принимается по расчету, но не менее 150 куб. 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/час на одно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машиноместо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обеспечения кратности воздухообмена в час не менее двух.</w:t>
      </w:r>
    </w:p>
    <w:p w:rsidR="009E0BCE" w:rsidRPr="009E0BCE" w:rsidRDefault="009E0BCE" w:rsidP="009E0BCE">
      <w:pPr>
        <w:numPr>
          <w:ilvl w:val="1"/>
          <w:numId w:val="4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Приточно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вытяжную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противодымную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вентиляцию автостоянок следует предусматривать с учетом требований СП 7.13130.2009 и настоящих норм. Вытяжная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противодымная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вентиляция должна обеспечивать удаление продуктов горения при пожаре:</w:t>
      </w:r>
    </w:p>
    <w:p w:rsidR="009E0BCE" w:rsidRPr="009E0BCE" w:rsidRDefault="009E0BCE" w:rsidP="009E0BCE">
      <w:pPr>
        <w:numPr>
          <w:ilvl w:val="0"/>
          <w:numId w:val="4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помещений хранения автомобилей подземных и надземных автостоянок закрытого типа;</w:t>
      </w:r>
    </w:p>
    <w:p w:rsidR="009E0BCE" w:rsidRPr="009E0BCE" w:rsidRDefault="009E0BCE" w:rsidP="009E0BCE">
      <w:pPr>
        <w:numPr>
          <w:ilvl w:val="0"/>
          <w:numId w:val="4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коридоров без естественного освещения;</w:t>
      </w:r>
    </w:p>
    <w:p w:rsidR="009E0BCE" w:rsidRPr="009E0BCE" w:rsidRDefault="009E0BCE" w:rsidP="009E0BCE">
      <w:pPr>
        <w:numPr>
          <w:ilvl w:val="0"/>
          <w:numId w:val="4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изолированных рамп.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удаляемого дыма следует определять по СП 7.13130.2009 для дымовой зоны площадью не более 1 600 кв. м.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подземных многоэтажных автостоянках с целью обеспечения эффективной работы систем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дымоудаления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проектировать шахты для естественного поступления наружного воздуха на этаж пожара. В шахте на каждом этаже предусмотреть установку нормально закрытых автоматических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огнезадерживающих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обратных клапанов с пределами огнестойкости Е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60.</w:t>
      </w:r>
    </w:p>
    <w:p w:rsidR="009E0BCE" w:rsidRPr="009E0BCE" w:rsidRDefault="009E0BCE" w:rsidP="009E0BCE">
      <w:pPr>
        <w:numPr>
          <w:ilvl w:val="1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Пуск в действие систем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противодымной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должен осуществляться автоматически (от автоматической пожарной сигнализации или автоматической установки пожаротушения) и дистанционно (с пульта диспетчера и от кнопок, устанавливаемых в шкафах пожарных кранов или у эвакуационных выходов с этажей).</w:t>
      </w:r>
    </w:p>
    <w:p w:rsidR="009E0BCE" w:rsidRPr="009E0BCE" w:rsidRDefault="009E0BCE" w:rsidP="009E0BCE">
      <w:pPr>
        <w:numPr>
          <w:ilvl w:val="1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 огнестойкости шахт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дымоудаления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предусматриваться не менее требуемых пределов огнестойкости пересекаемых перекрытий, а поэтажных ответвлений воздуховодов от шахт не менее EI 60. Пределы огнестойкости дымовых клапанов должны быть не менее Е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шахта должна обслуживаться отдельным вытяжным вентилятором, сохраняющим работоспособность при температуре 600 град. С не менее 1 ч или 400 град. С не менее 2 ч в зависимости от расчетных значений температуры удаляемых продуктов горения. Допускается применение устройств, обеспечивающих снижение температуры газов до пределов, установленных паспортными данными вентиляторов. Требуемые расходы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дымоудаления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число шахт и дымовых клапанов определяются расчетом.</w:t>
      </w:r>
    </w:p>
    <w:p w:rsidR="009E0BCE" w:rsidRPr="009E0BCE" w:rsidRDefault="009E0BCE" w:rsidP="009E0BCE">
      <w:pPr>
        <w:numPr>
          <w:ilvl w:val="1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Приточная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противодымная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вентиляция, обслуживающая тамбуры - шлюзы, шахты лифтов и лестничные клетки, должна предусматривать подачу воздуха через нормально закрытые противопожарные клапаны с пределом огнестойкости не менее EI 60, оборудованные автоматическим дистанционным и ручным управлением приводов. Параметры приточной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противодымной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вентиляции необходимо определять расчетом согласно СП 7.13130.2009.</w:t>
      </w:r>
    </w:p>
    <w:p w:rsidR="009E0BCE" w:rsidRPr="009E0BCE" w:rsidRDefault="009E0BCE" w:rsidP="009E0BCE">
      <w:pPr>
        <w:numPr>
          <w:ilvl w:val="1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удаления продуктов горения из изолированных рамп надземных автостоянок допускается предусматривать естественную вытяжную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противодымную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вентиляцию через оконные проемы или через дымовые клапаны в верхней части защищаемых объемов рамп. Применение вытяжной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противодымной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вентиляции с естественным побуждением в подземных автостоянках допускается при обеспечении. Выброс дыма может быть предусмотрен через наружный проем рампы при оснащении ворот въезда - выезда автоматически и дистанционно управляемыми приводами. Над наружным проемом рампы должен быть установлен козырек из негорючих материалов шириной не менее ширины наружного проема и отстоящий от плоскости фасада на расстоянии не менее 1,2 м.</w:t>
      </w:r>
    </w:p>
    <w:p w:rsidR="009E0BCE" w:rsidRPr="009E0BCE" w:rsidRDefault="009E0BCE" w:rsidP="009E0BCE">
      <w:pPr>
        <w:numPr>
          <w:ilvl w:val="1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Электротехнические устройства автостоянок должны проектироваться согласно требованиям Правил устройства электроустановок (ПУЭ), ВСН 01-89 и настоящих норм.</w:t>
      </w:r>
    </w:p>
    <w:p w:rsidR="009E0BCE" w:rsidRPr="009E0BCE" w:rsidRDefault="009E0BCE" w:rsidP="009E0BCE">
      <w:pPr>
        <w:numPr>
          <w:ilvl w:val="1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автостоянках с системами пожарной автоматики на путях эвакуации необходимо предусматривать световые указатели, подключенные к сети эвакуационного освещения. Указатели следует устанавливать на высоте 2 м и 0,5 м от пола. Световые указатели мест установки соединительных головок для подключения передвижной пожарной техники необходимо подключать к сети эвакуационного освещения. На фасадах сооружения автостоянки необходимо предусматривать установку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светоуказателей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расположения гидрантов. Световые указатели должны включаться автоматически при срабатывании систем пожарной автоматики.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электроснабжения следует предусматривать устройства защитного отключения.</w:t>
      </w:r>
    </w:p>
    <w:p w:rsidR="009E0BCE" w:rsidRPr="009E0BCE" w:rsidRDefault="009E0BCE" w:rsidP="009E0BCE">
      <w:pPr>
        <w:numPr>
          <w:ilvl w:val="1"/>
          <w:numId w:val="5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Пожарную сигнализацию автостоянок необходимо проектировать в соответствии со СП 5.13130.2009 и настоящими нормами.</w:t>
      </w:r>
    </w:p>
    <w:p w:rsidR="009E0BCE" w:rsidRPr="009E0BCE" w:rsidRDefault="009E0BCE" w:rsidP="009E0BCE">
      <w:pPr>
        <w:numPr>
          <w:ilvl w:val="1"/>
          <w:numId w:val="5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Автостоянки с подземной частью вместимостью более 100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оборудовать системой оповещения и управления эвакуацией при пожаре (СОУЭ), в которую включается: диспетчерский пульт управления, сеть громкоговорящих устройств и линий связи; световые указатели направления движения к выходам. Диспетчерский пульт должен размещаться не ниже первого подземного этажа и иметь непосредственный выход наружу или на лестничную клетку, ведущую наружу. В помещении диспетчерского пульта должны находиться устройства управления всеми системами противопожарной защиты автостоянки.</w:t>
      </w:r>
    </w:p>
    <w:p w:rsidR="009E0BCE" w:rsidRPr="009E0BCE" w:rsidRDefault="009E0BCE" w:rsidP="009E0BCE">
      <w:pPr>
        <w:numPr>
          <w:ilvl w:val="1"/>
          <w:numId w:val="5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Автостоянки с 2 подземными этажами и более следует оборудовать полуавтоматической речевой системой оповещения (с использованием микрофона). Для этой цели может быть использована радиотрансляционная сеть. Слышимость должна быть обеспечена в любом месте (помещении) автостоянки при работающем двигателе машины. В других случаях в автостоянках, оснащенных системами пожарной автоматики, необходимо предусматривать подачу тревожного звукового сигнала (сирена и т.п.), включение которого осуществляется при срабатывании указанных систем.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системы оповещения должны быть выполнены с учетом требований, предъявляемых к сетям пожарной сигнализации.</w:t>
      </w:r>
    </w:p>
    <w:p w:rsidR="009E0BCE" w:rsidRPr="009E0BCE" w:rsidRDefault="009E0BCE" w:rsidP="009E0B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CE" w:rsidRPr="009E0BCE" w:rsidRDefault="009E0BCE" w:rsidP="009E0BCE">
      <w:pPr>
        <w:numPr>
          <w:ilvl w:val="0"/>
          <w:numId w:val="5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4" w:name="_Toc246058170"/>
      <w:bookmarkEnd w:id="14"/>
      <w:r w:rsidRPr="009E0B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Специальные требования к автостоянкам с механизированными устройствами парковки автомобилей без участия водителей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CE" w:rsidRPr="009E0BCE" w:rsidRDefault="009E0BCE" w:rsidP="009E0BCE">
      <w:pPr>
        <w:numPr>
          <w:ilvl w:val="1"/>
          <w:numId w:val="5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площади помещений, параметры автостоянки с механизированным устройством определяются техническими особенностями используемой системы парковки автомобилей.</w:t>
      </w:r>
    </w:p>
    <w:p w:rsidR="009E0BCE" w:rsidRPr="009E0BCE" w:rsidRDefault="009E0BCE" w:rsidP="009E0BCE">
      <w:pPr>
        <w:numPr>
          <w:ilvl w:val="1"/>
          <w:numId w:val="5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механизированным устройством, 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работой и пожарной безопасностью автостоянки должны осуществляться из помещения, расположенного на посадочном этаже, диспетчером или автоматически.</w:t>
      </w:r>
    </w:p>
    <w:p w:rsidR="009E0BCE" w:rsidRPr="009E0BCE" w:rsidRDefault="009E0BCE" w:rsidP="009E0BCE">
      <w:pPr>
        <w:numPr>
          <w:ilvl w:val="1"/>
          <w:numId w:val="5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Автостоянки с механизированным устройством необходимо оборудовать установками автоматического пожаротушения согласно СП 5.13130.2009.</w:t>
      </w:r>
    </w:p>
    <w:p w:rsidR="009E0BCE" w:rsidRPr="009E0BCE" w:rsidRDefault="009E0BCE" w:rsidP="009E0BCE">
      <w:pPr>
        <w:numPr>
          <w:ilvl w:val="1"/>
          <w:numId w:val="5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подключения автоматических установок пожаротушения к передвижной пожарной технике следует предусматривать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сухотрубы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соединительными головками (согласно п. 5.8), обеспечивающими расчетный расход воды.</w:t>
      </w:r>
    </w:p>
    <w:p w:rsidR="009E0BCE" w:rsidRPr="009E0BCE" w:rsidRDefault="009E0BCE" w:rsidP="009E0BCE">
      <w:pPr>
        <w:numPr>
          <w:ilvl w:val="1"/>
          <w:numId w:val="5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оросителей системы автоматического водяного пожаротушения должно обеспечивать орошение остекленных поверхностей автомобиля. Свободный напор у действующего оросителя должен быть не менее 0,05 МПа.</w:t>
      </w:r>
    </w:p>
    <w:p w:rsidR="009E0BCE" w:rsidRPr="009E0BCE" w:rsidRDefault="009E0BCE" w:rsidP="009E0BCE">
      <w:pPr>
        <w:numPr>
          <w:ilvl w:val="1"/>
          <w:numId w:val="5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Автостоянки с механизированными устройствами допускается проектировать наземными и подземными. Пристраивать наземные автостоянки к зданиям другого назначения допускается только к глухим стенам, имеющим предел огнестойкости не менее REI 150.</w:t>
      </w:r>
    </w:p>
    <w:p w:rsidR="009E0BCE" w:rsidRPr="009E0BCE" w:rsidRDefault="009E0BCE" w:rsidP="009E0BCE">
      <w:pPr>
        <w:numPr>
          <w:ilvl w:val="1"/>
          <w:numId w:val="5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автостоянки с механизированным устройством может иметь вместимость не более 100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высоту сооружения не более 28 м. В случае компоновки автостоянки из нескольких блоков их следует разделять противопожарными перегородками с пределом огнестойкости не менее REJ 45 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наземных и REI 150 - для подземных. К каждому блоку должен быть предусмотрен подъезд для пожарных машин.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высоте сооружения до 15 м над землей вместимость блока допускается увеличивать до 150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BCE" w:rsidRPr="009E0BCE" w:rsidRDefault="009E0BCE" w:rsidP="009E0BCE">
      <w:pPr>
        <w:numPr>
          <w:ilvl w:val="1"/>
          <w:numId w:val="5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Автостоянки с механизированными устройствами допускается проектировать IV степени огнестойкости и класса конструктивной пожарной опасности 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BCE" w:rsidRPr="009E0BCE" w:rsidRDefault="009E0BCE" w:rsidP="009E0BCE">
      <w:pPr>
        <w:numPr>
          <w:ilvl w:val="1"/>
          <w:numId w:val="5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открытых наземных механизированных автостоянках с обеспечением проветривания и выполнением несущих конструкций с пределом огнестойкости не менее REI 45 </w:t>
      </w: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допускается не предусматривать автоматическое и внутреннее (от пожарных кранов) пожаротушение, а также пожарную сигнализацию. При этом сооружение такой автостоянки должно быть оборудовано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сухотрубом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целей внутреннего пожаротушения в соответствии с пунктом 7.8.</w:t>
      </w:r>
    </w:p>
    <w:p w:rsidR="009E0BCE" w:rsidRPr="009E0BCE" w:rsidRDefault="009E0BCE" w:rsidP="009E0BCE">
      <w:pPr>
        <w:spacing w:before="100" w:beforeAutospacing="1" w:after="0" w:line="240" w:lineRule="auto"/>
        <w:ind w:lef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CE" w:rsidRPr="009E0BCE" w:rsidRDefault="009E0BCE" w:rsidP="009E0BCE">
      <w:pPr>
        <w:numPr>
          <w:ilvl w:val="0"/>
          <w:numId w:val="54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5" w:name="_Toc246058171"/>
      <w:bookmarkEnd w:id="15"/>
      <w:r w:rsidRPr="009E0B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Специальные требования к автостоянкам открытого типа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CE" w:rsidRPr="009E0BCE" w:rsidRDefault="009E0BCE" w:rsidP="009E0BCE">
      <w:pPr>
        <w:numPr>
          <w:ilvl w:val="1"/>
          <w:numId w:val="5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Требуемая степень огнестойкости, допустимые этажность и площадь этажа автостоянки открытого типа в пределах пожарного отсека следует принимать по таблице 2.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зданиях автостоянок ширина корпуса не должна превышать 40 м.</w:t>
      </w:r>
    </w:p>
    <w:p w:rsidR="009E0BCE" w:rsidRPr="009E0BCE" w:rsidRDefault="009E0BCE" w:rsidP="009E0BCE">
      <w:pPr>
        <w:numPr>
          <w:ilvl w:val="1"/>
          <w:numId w:val="5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проемах наружных стен автостоянки открытого типа допускается применение защитных устройств, обеспечивающих сквозное проветривание автостоянки.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защитных устройствах, начиная со второго этажа, через каждые 30 метров следует предусматривать легко открывающиеся снаружи фрамуги шириной не менее 0,7 м на всю высоту проема. Высота поэтажных парапетов не должна превышать 1 м. Для уменьшения воздействия атмосферных осадков могут предусматриваться козырьки из негорючих материалов над открытыми проемами. При этом должно обеспечиваться сквозное проветривание этажа.</w:t>
      </w:r>
    </w:p>
    <w:p w:rsidR="009E0BCE" w:rsidRPr="009E0BCE" w:rsidRDefault="009E0BCE" w:rsidP="009E0BCE">
      <w:pPr>
        <w:numPr>
          <w:ilvl w:val="1"/>
          <w:numId w:val="5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Автостоянки для индивидуальных владельцев с закрепленными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машиноместами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оборудовать установками автоматического пожаротушения при размещении на этаже 100 и более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BCE" w:rsidRPr="009E0BCE" w:rsidRDefault="009E0BCE" w:rsidP="009E0BCE">
      <w:pPr>
        <w:numPr>
          <w:ilvl w:val="1"/>
          <w:numId w:val="5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каждого этажа следует предусматривать не менее двух эвакуационных выходов в соответствии с таблицей 4.</w:t>
      </w:r>
    </w:p>
    <w:p w:rsidR="009E0BCE" w:rsidRPr="009E0BCE" w:rsidRDefault="009E0BCE" w:rsidP="009E0BCE">
      <w:pPr>
        <w:numPr>
          <w:ilvl w:val="1"/>
          <w:numId w:val="5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эвакуационного пути допускается считать проход по пандусам на полуэтаж к лестничным клеткам. Проход должен иметь ширину не менее 80 см и на 10-15 см возвышаться над проезжей частью (с устройством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колесоотбоя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E0BCE" w:rsidRPr="009E0BCE" w:rsidRDefault="009E0BCE" w:rsidP="009E0BCE">
      <w:pPr>
        <w:numPr>
          <w:ilvl w:val="1"/>
          <w:numId w:val="5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 лестничных клеток во всех зданиях открытых стоянок, независимо от их степени огнестойкости, должны иметь предел огнестойкости и предел распространения огня, соответствующие II степени огнестойкости по СП 2.13130.2009.</w:t>
      </w:r>
    </w:p>
    <w:p w:rsidR="009E0BCE" w:rsidRPr="009E0BCE" w:rsidRDefault="009E0BCE" w:rsidP="009E0BCE">
      <w:pPr>
        <w:numPr>
          <w:ilvl w:val="1"/>
          <w:numId w:val="5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сооружении автостоянки должны предусматриваться закольцованные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сухотрубы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обратными клапанами у патрубков, выведенных наружу для передвижной пожарной техники. </w:t>
      </w: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Пропускная способность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сухотрубов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рассчитываться на орошение каждой точки автостоянки двумя струями не менее 5 л/сек. каждая от разных стояков.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Сухотрубы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шкафами пожарных кранов должны иметь удобный доступ со стороны лестничных клеток. Диаметр кранов на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сухотрубах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66 мм. На первом этаже следует предусматривать отапливаемое помещение для хранения противопожарного инвентаря.</w:t>
      </w:r>
    </w:p>
    <w:p w:rsidR="009E0BCE" w:rsidRPr="009E0BCE" w:rsidRDefault="009E0BCE" w:rsidP="009E0BCE">
      <w:pPr>
        <w:numPr>
          <w:ilvl w:val="1"/>
          <w:numId w:val="5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зданиях автостоянок более 6 этажей следует предусматривать лифты, которые должны соответствовать требованиям ГОСТ 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53296-2009.</w:t>
      </w:r>
    </w:p>
    <w:p w:rsidR="009E0BCE" w:rsidRPr="009E0BCE" w:rsidRDefault="009E0BCE" w:rsidP="009E0BCE">
      <w:pPr>
        <w:numPr>
          <w:ilvl w:val="1"/>
          <w:numId w:val="5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встроенные и </w:t>
      </w:r>
      <w:proofErr w:type="spellStart"/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встроенно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пристроенные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помещения, не относящиеся к автостоянке (в т.ч.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автомагазины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должны отделяться от пространства автостоянки противопожарными стенами и перекрытиями I типа и проектироваться в соответствии с действующими нормами.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дежурного и помещения для хранения противопожарного инвентаря должны оборудоваться автоматической пожарной сигнализацией.</w:t>
      </w:r>
    </w:p>
    <w:p w:rsidR="009E0BCE" w:rsidRPr="009E0BCE" w:rsidRDefault="009E0BCE" w:rsidP="009E0BCE">
      <w:pPr>
        <w:numPr>
          <w:ilvl w:val="1"/>
          <w:numId w:val="5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автостоянках открытого типа предусматривается естественная вентиляция и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дымоудаление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проветривания.</w:t>
      </w:r>
    </w:p>
    <w:p w:rsidR="009E0BCE" w:rsidRPr="009E0BCE" w:rsidRDefault="009E0BCE" w:rsidP="009E0BCE">
      <w:pPr>
        <w:numPr>
          <w:ilvl w:val="1"/>
          <w:numId w:val="5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Автостоянки открытого типа запрещается встраивать в нижние этажи зданий другого назначения.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CE" w:rsidRPr="009E0BCE" w:rsidRDefault="009E0BCE" w:rsidP="009E0BCE">
      <w:pPr>
        <w:numPr>
          <w:ilvl w:val="0"/>
          <w:numId w:val="59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6" w:name="_Toc246058172"/>
      <w:bookmarkEnd w:id="16"/>
      <w:r w:rsidRPr="009E0B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Специальные требования к надстройке существующих автостоянок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CE" w:rsidRPr="009E0BCE" w:rsidRDefault="009E0BCE" w:rsidP="009E0BCE">
      <w:pPr>
        <w:numPr>
          <w:ilvl w:val="1"/>
          <w:numId w:val="6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проектировании надстройки (реконструкции) существующих автостоянок следует руководствоваться требованиями настоящих норм к проектированию автостоянок закрытого и открытого типа.</w:t>
      </w:r>
    </w:p>
    <w:p w:rsidR="009E0BCE" w:rsidRPr="009E0BCE" w:rsidRDefault="009E0BCE" w:rsidP="009E0BCE">
      <w:pPr>
        <w:numPr>
          <w:ilvl w:val="1"/>
          <w:numId w:val="6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автостоянки, подлежащие надстройке, могут быть одноэтажными (плоскостными), заглубленными в землю, подземными.</w:t>
      </w:r>
    </w:p>
    <w:p w:rsidR="009E0BCE" w:rsidRPr="009E0BCE" w:rsidRDefault="009E0BCE" w:rsidP="009E0BCE">
      <w:pPr>
        <w:numPr>
          <w:ilvl w:val="1"/>
          <w:numId w:val="6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или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невключение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существующей автостоянки в объем надстройки определяется заданием на проектирование и проектом.</w:t>
      </w:r>
    </w:p>
    <w:p w:rsidR="009E0BCE" w:rsidRPr="009E0BCE" w:rsidRDefault="009E0BCE" w:rsidP="009E0BCE">
      <w:pPr>
        <w:numPr>
          <w:ilvl w:val="1"/>
          <w:numId w:val="6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объем надстройки существующая автостоянка не включается, надстраиваемая и существующая части автостоянки должны иметь раздельные конструкции, въезды и выезды. Увязка инженерных коммуникаций обеих частей автостоянки определяется проектом.</w:t>
      </w:r>
    </w:p>
    <w:p w:rsidR="009E0BCE" w:rsidRPr="009E0BCE" w:rsidRDefault="009E0BCE" w:rsidP="009E0BCE">
      <w:pPr>
        <w:numPr>
          <w:ilvl w:val="1"/>
          <w:numId w:val="6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Несущие опоры и нижнее перекрытие надстройки должны иметь предел огнестойкости не менее REI 150.</w:t>
      </w:r>
    </w:p>
    <w:p w:rsidR="009E0BCE" w:rsidRPr="009E0BCE" w:rsidRDefault="009E0BCE" w:rsidP="009E0BCE">
      <w:pPr>
        <w:numPr>
          <w:ilvl w:val="1"/>
          <w:numId w:val="6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этажа надстраиваемого корпуса следует принимать по табл. 1 и 3 настоящих норм.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корпуса надстройки должна быть не более 40 м. Между покрытием плоскостной автостоянки и перекрытием, на котором возводится надстройка, предусматривается пространство (зазор) высотой не менее 0,8 м для обеспечения естественного проветривания. Ограждение и использование этого пространства для складских и других нужд не допускается.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Разрывы между корпусами должны составлять:</w:t>
      </w:r>
    </w:p>
    <w:p w:rsidR="009E0BCE" w:rsidRPr="009E0BCE" w:rsidRDefault="009E0BCE" w:rsidP="009E0BCE">
      <w:pPr>
        <w:numPr>
          <w:ilvl w:val="0"/>
          <w:numId w:val="6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6 м - для закрытых автостоянок;</w:t>
      </w:r>
    </w:p>
    <w:p w:rsidR="009E0BCE" w:rsidRPr="009E0BCE" w:rsidRDefault="009E0BCE" w:rsidP="009E0BCE">
      <w:pPr>
        <w:numPr>
          <w:ilvl w:val="0"/>
          <w:numId w:val="6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12 м - для открытых автостоянок I-II степени огнестойкости;</w:t>
      </w:r>
    </w:p>
    <w:p w:rsidR="009E0BCE" w:rsidRPr="009E0BCE" w:rsidRDefault="009E0BCE" w:rsidP="009E0BCE">
      <w:pPr>
        <w:numPr>
          <w:ilvl w:val="0"/>
          <w:numId w:val="6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15 м - для открытых автостоянок IIIС0 степени огнестойкости.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разрывов существующие боксы подлежат сносу. Существующие боксы, расположенные под возводимыми корпусами и граничащие с разрывом, должны быть защищены от него противопожарными перегородками с пределом огнестойкости не менее 0,5 ч. По высоте эти перегородки не должны перегораживать зазор (0,8 м) для проветривания между покрытием боксов и перекрытием, на котором возводится надстройка. Между корпусами могут предусматриваться отдельные соединяющие проезды (проходы).</w:t>
      </w:r>
    </w:p>
    <w:p w:rsidR="009E0BCE" w:rsidRPr="009E0BCE" w:rsidRDefault="009E0BCE" w:rsidP="009E0BCE">
      <w:pPr>
        <w:numPr>
          <w:ilvl w:val="1"/>
          <w:numId w:val="6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Проезды плоскостной автостоянки, расположенные под надстройкой, должны иметь естественное или искусственное освещение.</w:t>
      </w:r>
    </w:p>
    <w:p w:rsidR="009E0BCE" w:rsidRPr="009E0BCE" w:rsidRDefault="009E0BCE" w:rsidP="009E0BCE">
      <w:pPr>
        <w:numPr>
          <w:ilvl w:val="1"/>
          <w:numId w:val="6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осуществления надстройки из двух и более корпусов разделение проездов плоскостной автостоянки воротами в границах каждого корпуса не допускается.</w:t>
      </w:r>
    </w:p>
    <w:p w:rsidR="009E0BCE" w:rsidRPr="009E0BCE" w:rsidRDefault="009E0BCE" w:rsidP="009E0BCE">
      <w:pPr>
        <w:numPr>
          <w:ilvl w:val="1"/>
          <w:numId w:val="6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бокс плоскостной автостоянки, над которой возводится надстройка, следует оборудовать спринклером с устройством закольцованного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сухотруба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обратными клапанами у патрубков, выведенных для подключения передвижной пожарной техники.</w:t>
      </w:r>
      <w:proofErr w:type="gramEnd"/>
    </w:p>
    <w:p w:rsidR="009E0BCE" w:rsidRPr="009E0BCE" w:rsidRDefault="009E0BCE" w:rsidP="009E0BCE">
      <w:pPr>
        <w:numPr>
          <w:ilvl w:val="1"/>
          <w:numId w:val="6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плоскостных автостоянках, расположенных непосредственно под надстраиваемыми корпусами, не допускается размещение мастерских по ремонту автомобилей и др.</w:t>
      </w:r>
    </w:p>
    <w:p w:rsidR="009E0BCE" w:rsidRPr="009E0BCE" w:rsidRDefault="009E0BCE" w:rsidP="009E0BCE">
      <w:pPr>
        <w:numPr>
          <w:ilvl w:val="1"/>
          <w:numId w:val="6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надстройки следует обеспечить безопасность пользователей существующей плоскостной автостоянки в соответствии с нормами по технике безопасности строительства.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CE" w:rsidRPr="009E0BCE" w:rsidRDefault="009E0BCE" w:rsidP="009E0BCE">
      <w:pPr>
        <w:numPr>
          <w:ilvl w:val="0"/>
          <w:numId w:val="6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7" w:name="_Toc246058173"/>
      <w:bookmarkEnd w:id="17"/>
      <w:r w:rsidRPr="009E0B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Специальные требования к обвалованным автостоянкам</w:t>
      </w:r>
    </w:p>
    <w:p w:rsidR="009E0BCE" w:rsidRPr="009E0BCE" w:rsidRDefault="009E0BCE" w:rsidP="009E0B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CE" w:rsidRPr="009E0BCE" w:rsidRDefault="009E0BCE" w:rsidP="009E0BCE">
      <w:pPr>
        <w:numPr>
          <w:ilvl w:val="1"/>
          <w:numId w:val="6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Обвалованные автостоянки в основном предназначены для строительства на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территориях жилых районов, микрорайонов, кварталов с использованием покрытия автостоянки для благоустройства и озеленения, игровых и спортивных площадок.</w:t>
      </w:r>
    </w:p>
    <w:p w:rsidR="009E0BCE" w:rsidRPr="009E0BCE" w:rsidRDefault="009E0BCE" w:rsidP="009E0BCE">
      <w:pPr>
        <w:numPr>
          <w:ilvl w:val="1"/>
          <w:numId w:val="6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от въезда-выезда из автостоянки и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вентшахт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зданий иного назначения регламентируется требованиями </w:t>
      </w:r>
      <w:proofErr w:type="spell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2.2.1/2.1.1.1200-03.</w:t>
      </w:r>
    </w:p>
    <w:p w:rsidR="009E0BCE" w:rsidRPr="009E0BCE" w:rsidRDefault="009E0BCE" w:rsidP="009E0BCE">
      <w:pPr>
        <w:numPr>
          <w:ilvl w:val="1"/>
          <w:numId w:val="6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расстояния от обвалованных сторон автостоянок до зданий не лимитируются.</w:t>
      </w:r>
    </w:p>
    <w:p w:rsidR="009E0BCE" w:rsidRPr="009E0BCE" w:rsidRDefault="009E0BCE" w:rsidP="009E0BCE">
      <w:pPr>
        <w:numPr>
          <w:ilvl w:val="1"/>
          <w:numId w:val="6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конструктивной пожарной опасности обвалованных автостоянок следует предусматривать не ниже СО, степень огнестойкости - не ниже II.</w:t>
      </w:r>
    </w:p>
    <w:p w:rsidR="009E0BCE" w:rsidRPr="009E0BCE" w:rsidRDefault="009E0BCE" w:rsidP="009E0BCE">
      <w:pPr>
        <w:numPr>
          <w:ilvl w:val="1"/>
          <w:numId w:val="6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разделении этажей двухэтажных автостоянок противопожарным перекрытием противопожарные требования допускается принимать к каждому этажу как к одноэтажному зданию (п. 3.7), огнестойкость противопожарного перекрытия должна быть не менее REI 60.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 огнестойкости несущих конструкций, обеспечивающих устойчивость, противопожарного перекрытия и узлов крепления между ними должен быть не менее R 60.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CE" w:rsidRPr="009E0BCE" w:rsidRDefault="009E0BCE" w:rsidP="009E0BC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CE" w:rsidRPr="009E0BCE" w:rsidRDefault="009E0BCE" w:rsidP="009E0BC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CE" w:rsidRPr="009E0BCE" w:rsidRDefault="009E0BCE" w:rsidP="009E0BC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CE" w:rsidRPr="009E0BCE" w:rsidRDefault="009E0BCE" w:rsidP="009E0BC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CE" w:rsidRPr="009E0BCE" w:rsidRDefault="009E0BCE" w:rsidP="009E0BC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CE" w:rsidRPr="009E0BCE" w:rsidRDefault="009E0BCE" w:rsidP="009E0B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 И ОПРЕДЕЛЕНИЯ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Плоскостная автостоянка - площадка для открытого или закрытого (в отдельных боксах или металлических тентах) хранения автомобилей в одном уровне.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Обвалованные автостоянки - наземные или заглубленные автостоянки с обвалованными грунтом наружными ограждающими конструкциями, выступающими выше уровня земли.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Пандус, рампа - наклонная конструкция, предназначенная для самостоятельного перемещения автомобилей с уровня (на уровень) земли и на разные уровни автостоянки.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 (рампа) может быть открытым, т.е. не имеющим покрытия и полностью или частично стеновых ограждений, а также закрытым, имеющим стены и покрытие, изолирующие его от внешней среды.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подземный этаж - верхний подземный этаж.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Подземный этаж - этаж при отметке пола помещений ниже планировочной отметки земли более чем на половину высоты помещений.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хранения автомобилей - основное помещение автостоянки, по назначению и использованию не относящееся к складским помещениям.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Посадочный этаж - этаж основного входа в автостоянку.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Цокольный этаж - этаж при отметке пола помещений ниже планировочной отметки земли на высоту не более половины высоты помещений.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Посты технического обслуживания (ТО) и текущего ремонта (</w:t>
      </w:r>
      <w:proofErr w:type="gramStart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9E0BCE">
        <w:rPr>
          <w:rFonts w:ascii="Times New Roman" w:eastAsia="Times New Roman" w:hAnsi="Times New Roman" w:cs="Times New Roman"/>
          <w:sz w:val="28"/>
          <w:szCs w:val="28"/>
          <w:lang w:eastAsia="ru-RU"/>
        </w:rPr>
        <w:t>) - места с устройствами (смотровые ямы) для самообслуживания владельцев легкового автотранспорта.</w:t>
      </w: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i551706"/>
      <w:bookmarkEnd w:id="18"/>
    </w:p>
    <w:p w:rsidR="009E0BCE" w:rsidRPr="009E0BCE" w:rsidRDefault="009E0BCE" w:rsidP="009E0B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090" w:rsidRDefault="00444090"/>
    <w:sectPr w:rsidR="00444090" w:rsidSect="0044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CDA"/>
    <w:multiLevelType w:val="multilevel"/>
    <w:tmpl w:val="0EA0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00E19"/>
    <w:multiLevelType w:val="multilevel"/>
    <w:tmpl w:val="3342C1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C11D4"/>
    <w:multiLevelType w:val="multilevel"/>
    <w:tmpl w:val="42066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65698"/>
    <w:multiLevelType w:val="multilevel"/>
    <w:tmpl w:val="7E2286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726B9"/>
    <w:multiLevelType w:val="multilevel"/>
    <w:tmpl w:val="8814EA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442F2"/>
    <w:multiLevelType w:val="multilevel"/>
    <w:tmpl w:val="FC90D4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1A0162"/>
    <w:multiLevelType w:val="multilevel"/>
    <w:tmpl w:val="840418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834086"/>
    <w:multiLevelType w:val="multilevel"/>
    <w:tmpl w:val="1582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77594"/>
    <w:multiLevelType w:val="multilevel"/>
    <w:tmpl w:val="DDB293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7E4CBD"/>
    <w:multiLevelType w:val="multilevel"/>
    <w:tmpl w:val="86D4F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B358DD"/>
    <w:multiLevelType w:val="multilevel"/>
    <w:tmpl w:val="D8EE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83791A"/>
    <w:multiLevelType w:val="multilevel"/>
    <w:tmpl w:val="740E9D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9D2D25"/>
    <w:multiLevelType w:val="multilevel"/>
    <w:tmpl w:val="558079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413E9E"/>
    <w:multiLevelType w:val="multilevel"/>
    <w:tmpl w:val="E2B03F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350F5F"/>
    <w:multiLevelType w:val="multilevel"/>
    <w:tmpl w:val="A45033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D67A88"/>
    <w:multiLevelType w:val="multilevel"/>
    <w:tmpl w:val="1082A6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FA6316"/>
    <w:multiLevelType w:val="multilevel"/>
    <w:tmpl w:val="0718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020BAF"/>
    <w:multiLevelType w:val="multilevel"/>
    <w:tmpl w:val="C2D85B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C64637"/>
    <w:multiLevelType w:val="multilevel"/>
    <w:tmpl w:val="F8FECD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2B5052"/>
    <w:multiLevelType w:val="multilevel"/>
    <w:tmpl w:val="474457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6747A6"/>
    <w:multiLevelType w:val="multilevel"/>
    <w:tmpl w:val="005AEB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B7346B"/>
    <w:multiLevelType w:val="multilevel"/>
    <w:tmpl w:val="637029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50422"/>
    <w:multiLevelType w:val="multilevel"/>
    <w:tmpl w:val="591A9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53462D"/>
    <w:multiLevelType w:val="multilevel"/>
    <w:tmpl w:val="CE369D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107884"/>
    <w:multiLevelType w:val="multilevel"/>
    <w:tmpl w:val="5FAC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A241C7"/>
    <w:multiLevelType w:val="multilevel"/>
    <w:tmpl w:val="5A3AD6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63298E"/>
    <w:multiLevelType w:val="multilevel"/>
    <w:tmpl w:val="F190B8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691215"/>
    <w:multiLevelType w:val="multilevel"/>
    <w:tmpl w:val="E8A6DC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E4547D"/>
    <w:multiLevelType w:val="multilevel"/>
    <w:tmpl w:val="0F78D2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C1187A"/>
    <w:multiLevelType w:val="multilevel"/>
    <w:tmpl w:val="7B8ABC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064BAC"/>
    <w:multiLevelType w:val="multilevel"/>
    <w:tmpl w:val="B5C8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67375E4"/>
    <w:multiLevelType w:val="multilevel"/>
    <w:tmpl w:val="095E97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71E0207"/>
    <w:multiLevelType w:val="multilevel"/>
    <w:tmpl w:val="052241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7206B5F"/>
    <w:multiLevelType w:val="multilevel"/>
    <w:tmpl w:val="D4C4F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875649B"/>
    <w:multiLevelType w:val="multilevel"/>
    <w:tmpl w:val="AAC826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8B63058"/>
    <w:multiLevelType w:val="multilevel"/>
    <w:tmpl w:val="ADB4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9F20AB4"/>
    <w:multiLevelType w:val="multilevel"/>
    <w:tmpl w:val="B0E6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BB10BE9"/>
    <w:multiLevelType w:val="multilevel"/>
    <w:tmpl w:val="4F9C9C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C67479F"/>
    <w:multiLevelType w:val="multilevel"/>
    <w:tmpl w:val="C37CF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D7E1C20"/>
    <w:multiLevelType w:val="multilevel"/>
    <w:tmpl w:val="804C8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7A5624"/>
    <w:multiLevelType w:val="multilevel"/>
    <w:tmpl w:val="F9B8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1D5199"/>
    <w:multiLevelType w:val="multilevel"/>
    <w:tmpl w:val="316683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09522DB"/>
    <w:multiLevelType w:val="multilevel"/>
    <w:tmpl w:val="C878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10D1F7D"/>
    <w:multiLevelType w:val="multilevel"/>
    <w:tmpl w:val="4B320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2EC64EF"/>
    <w:multiLevelType w:val="multilevel"/>
    <w:tmpl w:val="EAC2A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D7F0ACF"/>
    <w:multiLevelType w:val="multilevel"/>
    <w:tmpl w:val="B2AC1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EF65D80"/>
    <w:multiLevelType w:val="multilevel"/>
    <w:tmpl w:val="8300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6A5152E"/>
    <w:multiLevelType w:val="multilevel"/>
    <w:tmpl w:val="60CA7D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7782DD6"/>
    <w:multiLevelType w:val="multilevel"/>
    <w:tmpl w:val="2E1EA6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8F3125C"/>
    <w:multiLevelType w:val="multilevel"/>
    <w:tmpl w:val="FFD67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9AE7C97"/>
    <w:multiLevelType w:val="multilevel"/>
    <w:tmpl w:val="00528D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9C45089"/>
    <w:multiLevelType w:val="multilevel"/>
    <w:tmpl w:val="CBC846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C524810"/>
    <w:multiLevelType w:val="multilevel"/>
    <w:tmpl w:val="C6DEB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D6B7F4B"/>
    <w:multiLevelType w:val="multilevel"/>
    <w:tmpl w:val="8BA26E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1CC5E45"/>
    <w:multiLevelType w:val="multilevel"/>
    <w:tmpl w:val="763A0D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2881C58"/>
    <w:multiLevelType w:val="multilevel"/>
    <w:tmpl w:val="4044F6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37405D3"/>
    <w:multiLevelType w:val="multilevel"/>
    <w:tmpl w:val="54501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4B81930"/>
    <w:multiLevelType w:val="multilevel"/>
    <w:tmpl w:val="E9285F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588256B"/>
    <w:multiLevelType w:val="multilevel"/>
    <w:tmpl w:val="59AC9C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5A04CAB"/>
    <w:multiLevelType w:val="multilevel"/>
    <w:tmpl w:val="0E344C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A5F6994"/>
    <w:multiLevelType w:val="multilevel"/>
    <w:tmpl w:val="3DD0C7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AFC5C95"/>
    <w:multiLevelType w:val="multilevel"/>
    <w:tmpl w:val="36D8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B036772"/>
    <w:multiLevelType w:val="multilevel"/>
    <w:tmpl w:val="AF108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BD32060"/>
    <w:multiLevelType w:val="multilevel"/>
    <w:tmpl w:val="5BAE89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"/>
  </w:num>
  <w:num w:numId="3">
    <w:abstractNumId w:val="38"/>
  </w:num>
  <w:num w:numId="4">
    <w:abstractNumId w:val="39"/>
  </w:num>
  <w:num w:numId="5">
    <w:abstractNumId w:val="46"/>
  </w:num>
  <w:num w:numId="6">
    <w:abstractNumId w:val="40"/>
  </w:num>
  <w:num w:numId="7">
    <w:abstractNumId w:val="0"/>
  </w:num>
  <w:num w:numId="8">
    <w:abstractNumId w:val="36"/>
  </w:num>
  <w:num w:numId="9">
    <w:abstractNumId w:val="45"/>
  </w:num>
  <w:num w:numId="10">
    <w:abstractNumId w:val="22"/>
  </w:num>
  <w:num w:numId="11">
    <w:abstractNumId w:val="33"/>
  </w:num>
  <w:num w:numId="12">
    <w:abstractNumId w:val="24"/>
  </w:num>
  <w:num w:numId="13">
    <w:abstractNumId w:val="56"/>
  </w:num>
  <w:num w:numId="14">
    <w:abstractNumId w:val="42"/>
  </w:num>
  <w:num w:numId="15">
    <w:abstractNumId w:val="20"/>
  </w:num>
  <w:num w:numId="16">
    <w:abstractNumId w:val="51"/>
  </w:num>
  <w:num w:numId="17">
    <w:abstractNumId w:val="9"/>
  </w:num>
  <w:num w:numId="18">
    <w:abstractNumId w:val="60"/>
  </w:num>
  <w:num w:numId="19">
    <w:abstractNumId w:val="43"/>
  </w:num>
  <w:num w:numId="20">
    <w:abstractNumId w:val="28"/>
  </w:num>
  <w:num w:numId="21">
    <w:abstractNumId w:val="18"/>
  </w:num>
  <w:num w:numId="22">
    <w:abstractNumId w:val="48"/>
  </w:num>
  <w:num w:numId="23">
    <w:abstractNumId w:val="5"/>
  </w:num>
  <w:num w:numId="24">
    <w:abstractNumId w:val="14"/>
  </w:num>
  <w:num w:numId="25">
    <w:abstractNumId w:val="11"/>
  </w:num>
  <w:num w:numId="26">
    <w:abstractNumId w:val="54"/>
  </w:num>
  <w:num w:numId="27">
    <w:abstractNumId w:val="49"/>
  </w:num>
  <w:num w:numId="28">
    <w:abstractNumId w:val="47"/>
  </w:num>
  <w:num w:numId="29">
    <w:abstractNumId w:val="37"/>
  </w:num>
  <w:num w:numId="30">
    <w:abstractNumId w:val="7"/>
  </w:num>
  <w:num w:numId="31">
    <w:abstractNumId w:val="44"/>
  </w:num>
  <w:num w:numId="32">
    <w:abstractNumId w:val="61"/>
  </w:num>
  <w:num w:numId="33">
    <w:abstractNumId w:val="58"/>
  </w:num>
  <w:num w:numId="34">
    <w:abstractNumId w:val="59"/>
  </w:num>
  <w:num w:numId="35">
    <w:abstractNumId w:val="1"/>
  </w:num>
  <w:num w:numId="36">
    <w:abstractNumId w:val="62"/>
  </w:num>
  <w:num w:numId="37">
    <w:abstractNumId w:val="55"/>
  </w:num>
  <w:num w:numId="38">
    <w:abstractNumId w:val="52"/>
  </w:num>
  <w:num w:numId="39">
    <w:abstractNumId w:val="23"/>
  </w:num>
  <w:num w:numId="40">
    <w:abstractNumId w:val="30"/>
  </w:num>
  <w:num w:numId="41">
    <w:abstractNumId w:val="63"/>
  </w:num>
  <w:num w:numId="42">
    <w:abstractNumId w:val="34"/>
  </w:num>
  <w:num w:numId="43">
    <w:abstractNumId w:val="17"/>
  </w:num>
  <w:num w:numId="44">
    <w:abstractNumId w:val="25"/>
  </w:num>
  <w:num w:numId="45">
    <w:abstractNumId w:val="4"/>
  </w:num>
  <w:num w:numId="46">
    <w:abstractNumId w:val="27"/>
  </w:num>
  <w:num w:numId="47">
    <w:abstractNumId w:val="10"/>
  </w:num>
  <w:num w:numId="48">
    <w:abstractNumId w:val="12"/>
  </w:num>
  <w:num w:numId="49">
    <w:abstractNumId w:val="32"/>
  </w:num>
  <w:num w:numId="50">
    <w:abstractNumId w:val="15"/>
  </w:num>
  <w:num w:numId="51">
    <w:abstractNumId w:val="8"/>
  </w:num>
  <w:num w:numId="52">
    <w:abstractNumId w:val="29"/>
  </w:num>
  <w:num w:numId="53">
    <w:abstractNumId w:val="53"/>
  </w:num>
  <w:num w:numId="54">
    <w:abstractNumId w:val="31"/>
  </w:num>
  <w:num w:numId="55">
    <w:abstractNumId w:val="6"/>
  </w:num>
  <w:num w:numId="56">
    <w:abstractNumId w:val="26"/>
  </w:num>
  <w:num w:numId="57">
    <w:abstractNumId w:val="21"/>
  </w:num>
  <w:num w:numId="58">
    <w:abstractNumId w:val="57"/>
  </w:num>
  <w:num w:numId="59">
    <w:abstractNumId w:val="19"/>
  </w:num>
  <w:num w:numId="60">
    <w:abstractNumId w:val="13"/>
  </w:num>
  <w:num w:numId="61">
    <w:abstractNumId w:val="16"/>
  </w:num>
  <w:num w:numId="62">
    <w:abstractNumId w:val="41"/>
  </w:num>
  <w:num w:numId="63">
    <w:abstractNumId w:val="50"/>
  </w:num>
  <w:num w:numId="64">
    <w:abstractNumId w:val="3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BCE"/>
    <w:rsid w:val="000C542E"/>
    <w:rsid w:val="001363DC"/>
    <w:rsid w:val="002B7F72"/>
    <w:rsid w:val="00375411"/>
    <w:rsid w:val="00444090"/>
    <w:rsid w:val="006E5C19"/>
    <w:rsid w:val="007764D5"/>
    <w:rsid w:val="008604B8"/>
    <w:rsid w:val="008D7338"/>
    <w:rsid w:val="00972C31"/>
    <w:rsid w:val="009E0BCE"/>
    <w:rsid w:val="00D30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90"/>
  </w:style>
  <w:style w:type="paragraph" w:styleId="1">
    <w:name w:val="heading 1"/>
    <w:basedOn w:val="a"/>
    <w:link w:val="10"/>
    <w:uiPriority w:val="9"/>
    <w:qFormat/>
    <w:rsid w:val="009E0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B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E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0BCE"/>
    <w:rPr>
      <w:color w:val="0000FF"/>
      <w:u w:val="single"/>
    </w:rPr>
  </w:style>
  <w:style w:type="paragraph" w:customStyle="1" w:styleId="ConsPlusTitle">
    <w:name w:val="ConsPlusTitle"/>
    <w:rsid w:val="007764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http%253A%252F%252Fwww.skonline.ru%252Fdoc%252F10219.html%26ts%3D1468388130%26uid%3D6684615811467178420&amp;sign=6195fbe562fd8deb607bdd897ca11b26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8277</Words>
  <Characters>47179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2016-07-13T05:40:00Z</dcterms:created>
  <dcterms:modified xsi:type="dcterms:W3CDTF">2016-07-14T12:10:00Z</dcterms:modified>
</cp:coreProperties>
</file>